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C7D5D4">
      <w:pPr>
        <w:pStyle w:val="2"/>
        <w:spacing w:line="360" w:lineRule="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附件2-4</w:t>
      </w:r>
    </w:p>
    <w:p w14:paraId="6C522896">
      <w:pPr>
        <w:pStyle w:val="2"/>
        <w:keepNext w:val="0"/>
        <w:keepLines w:val="0"/>
        <w:pageBreakBefore w:val="0"/>
        <w:widowControl w:val="0"/>
        <w:kinsoku/>
        <w:wordWrap/>
        <w:overflowPunct/>
        <w:topLinePunct w:val="0"/>
        <w:autoSpaceDE/>
        <w:autoSpaceDN/>
        <w:bidi w:val="0"/>
        <w:adjustRightInd/>
        <w:snapToGrid/>
        <w:spacing w:after="0" w:line="600" w:lineRule="exact"/>
        <w:jc w:val="center"/>
        <w:textAlignment w:val="auto"/>
        <w:rPr>
          <w:rFonts w:hint="default" w:ascii="Times New Roman" w:hAnsi="Times New Roman" w:eastAsia="方正小标宋_GBK" w:cs="Times New Roman"/>
          <w:spacing w:val="0"/>
          <w:kern w:val="2"/>
          <w:sz w:val="32"/>
          <w:szCs w:val="32"/>
          <w:lang w:val="en-US" w:eastAsia="zh-CN" w:bidi="ar-SA"/>
        </w:rPr>
      </w:pPr>
    </w:p>
    <w:p w14:paraId="5C1297BE">
      <w:pPr>
        <w:pStyle w:val="2"/>
        <w:keepNext w:val="0"/>
        <w:keepLines w:val="0"/>
        <w:pageBreakBefore w:val="0"/>
        <w:widowControl w:val="0"/>
        <w:kinsoku/>
        <w:wordWrap/>
        <w:overflowPunct/>
        <w:topLinePunct w:val="0"/>
        <w:autoSpaceDE/>
        <w:autoSpaceDN/>
        <w:bidi w:val="0"/>
        <w:adjustRightInd/>
        <w:snapToGrid/>
        <w:spacing w:after="0" w:line="600" w:lineRule="exact"/>
        <w:jc w:val="center"/>
        <w:textAlignment w:val="auto"/>
        <w:rPr>
          <w:rFonts w:hint="default" w:ascii="Times New Roman" w:hAnsi="Times New Roman" w:eastAsia="方正小标宋_GBK" w:cs="Times New Roman"/>
          <w:spacing w:val="0"/>
          <w:kern w:val="2"/>
          <w:sz w:val="32"/>
          <w:szCs w:val="32"/>
          <w:lang w:val="en-US" w:eastAsia="zh-CN" w:bidi="ar-SA"/>
        </w:rPr>
      </w:pPr>
      <w:r>
        <w:rPr>
          <w:rFonts w:hint="default" w:ascii="Times New Roman" w:hAnsi="Times New Roman" w:eastAsia="方正小标宋_GBK" w:cs="Times New Roman"/>
          <w:spacing w:val="0"/>
          <w:kern w:val="2"/>
          <w:sz w:val="32"/>
          <w:szCs w:val="32"/>
          <w:lang w:val="en-US" w:eastAsia="zh-CN" w:bidi="ar-SA"/>
        </w:rPr>
        <w:t>重庆市中等职业学校教师发展整校推进项目建设质量考核指标</w:t>
      </w:r>
    </w:p>
    <w:tbl>
      <w:tblPr>
        <w:tblStyle w:val="4"/>
        <w:tblW w:w="1395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1512"/>
        <w:gridCol w:w="1613"/>
        <w:gridCol w:w="10831"/>
      </w:tblGrid>
      <w:tr w14:paraId="2BC79A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22" w:hRule="atLeast"/>
          <w:tblHeader/>
          <w:jc w:val="center"/>
        </w:trPr>
        <w:tc>
          <w:tcPr>
            <w:tcW w:w="1512" w:type="dxa"/>
            <w:tcBorders>
              <w:tl2br w:val="nil"/>
              <w:tr2bl w:val="nil"/>
            </w:tcBorders>
            <w:shd w:val="clear" w:color="auto" w:fill="auto"/>
            <w:vAlign w:val="center"/>
          </w:tcPr>
          <w:p w14:paraId="625840B5">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黑体_GBK" w:cs="Times New Roman"/>
                <w:b w:val="0"/>
                <w:bCs w:val="0"/>
                <w:color w:val="000000"/>
                <w:kern w:val="0"/>
                <w:szCs w:val="21"/>
                <w:lang w:val="en-US" w:eastAsia="zh-Hans" w:bidi="ar"/>
              </w:rPr>
            </w:pPr>
            <w:r>
              <w:rPr>
                <w:rFonts w:hint="default" w:ascii="Times New Roman" w:hAnsi="Times New Roman" w:eastAsia="方正黑体_GBK" w:cs="Times New Roman"/>
                <w:b w:val="0"/>
                <w:bCs w:val="0"/>
                <w:color w:val="000000"/>
                <w:kern w:val="0"/>
                <w:szCs w:val="21"/>
                <w:lang w:val="en-US" w:eastAsia="zh-CN" w:bidi="ar"/>
              </w:rPr>
              <w:t>一级指标</w:t>
            </w:r>
          </w:p>
        </w:tc>
        <w:tc>
          <w:tcPr>
            <w:tcW w:w="1613" w:type="dxa"/>
            <w:tcBorders>
              <w:tl2br w:val="nil"/>
              <w:tr2bl w:val="nil"/>
            </w:tcBorders>
            <w:shd w:val="clear" w:color="auto" w:fill="auto"/>
            <w:vAlign w:val="center"/>
          </w:tcPr>
          <w:p w14:paraId="2911C776">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黑体_GBK" w:cs="Times New Roman"/>
                <w:b w:val="0"/>
                <w:bCs w:val="0"/>
                <w:color w:val="000000"/>
                <w:kern w:val="0"/>
                <w:szCs w:val="21"/>
                <w:lang w:val="en-US" w:eastAsia="zh-Hans" w:bidi="ar"/>
              </w:rPr>
            </w:pPr>
            <w:r>
              <w:rPr>
                <w:rFonts w:hint="default" w:ascii="Times New Roman" w:hAnsi="Times New Roman" w:eastAsia="方正黑体_GBK" w:cs="Times New Roman"/>
                <w:b w:val="0"/>
                <w:bCs w:val="0"/>
                <w:color w:val="000000"/>
                <w:kern w:val="0"/>
                <w:szCs w:val="21"/>
                <w:lang w:val="en-US" w:eastAsia="zh-CN" w:bidi="ar"/>
              </w:rPr>
              <w:t>二级指标</w:t>
            </w:r>
          </w:p>
        </w:tc>
        <w:tc>
          <w:tcPr>
            <w:tcW w:w="10831" w:type="dxa"/>
            <w:tcBorders>
              <w:tl2br w:val="nil"/>
              <w:tr2bl w:val="nil"/>
            </w:tcBorders>
            <w:shd w:val="clear" w:color="auto" w:fill="auto"/>
            <w:vAlign w:val="center"/>
          </w:tcPr>
          <w:p w14:paraId="21A99A2F">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黑体_GBK" w:cs="Times New Roman"/>
                <w:b w:val="0"/>
                <w:bCs w:val="0"/>
                <w:color w:val="000000"/>
                <w:kern w:val="0"/>
                <w:szCs w:val="21"/>
                <w:lang w:val="en-US" w:eastAsia="zh-Hans" w:bidi="ar"/>
              </w:rPr>
            </w:pPr>
            <w:r>
              <w:rPr>
                <w:rFonts w:hint="default" w:ascii="Times New Roman" w:hAnsi="Times New Roman" w:eastAsia="方正黑体_GBK" w:cs="Times New Roman"/>
                <w:b w:val="0"/>
                <w:bCs w:val="0"/>
                <w:color w:val="000000"/>
                <w:kern w:val="0"/>
                <w:szCs w:val="21"/>
                <w:lang w:val="en-US" w:eastAsia="zh-CN" w:bidi="ar"/>
              </w:rPr>
              <w:t>基本要求</w:t>
            </w:r>
          </w:p>
        </w:tc>
      </w:tr>
      <w:tr w14:paraId="1EA103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1512" w:type="dxa"/>
            <w:vMerge w:val="restart"/>
            <w:tcBorders>
              <w:tl2br w:val="nil"/>
              <w:tr2bl w:val="nil"/>
            </w:tcBorders>
            <w:shd w:val="clear" w:color="auto" w:fill="auto"/>
            <w:noWrap/>
            <w:vAlign w:val="center"/>
          </w:tcPr>
          <w:p w14:paraId="16F81C3C">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val="en-US" w:eastAsia="zh-CN" w:bidi="ar"/>
              </w:rPr>
              <w:t>A1.学校管理（30分）</w:t>
            </w:r>
          </w:p>
        </w:tc>
        <w:tc>
          <w:tcPr>
            <w:tcW w:w="1613" w:type="dxa"/>
            <w:vMerge w:val="restart"/>
            <w:tcBorders>
              <w:tl2br w:val="nil"/>
              <w:tr2bl w:val="nil"/>
            </w:tcBorders>
            <w:shd w:val="clear" w:color="auto" w:fill="auto"/>
            <w:noWrap/>
            <w:vAlign w:val="center"/>
          </w:tcPr>
          <w:p w14:paraId="3B801877">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val="en-US" w:eastAsia="zh-CN" w:bidi="ar"/>
              </w:rPr>
            </w:pPr>
            <w:r>
              <w:rPr>
                <w:rFonts w:hint="default" w:ascii="Times New Roman" w:hAnsi="Times New Roman" w:eastAsia="FangSong_GB2312" w:cs="Times New Roman"/>
                <w:color w:val="000000"/>
                <w:kern w:val="0"/>
                <w:szCs w:val="21"/>
                <w:lang w:val="en-US" w:eastAsia="zh-CN" w:bidi="ar"/>
              </w:rPr>
              <w:t>B1.组织保障</w:t>
            </w:r>
          </w:p>
          <w:p w14:paraId="51ECBCA4">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val="en-US" w:eastAsia="zh-CN" w:bidi="ar"/>
              </w:rPr>
              <w:t>（6分）</w:t>
            </w:r>
          </w:p>
        </w:tc>
        <w:tc>
          <w:tcPr>
            <w:tcW w:w="10831" w:type="dxa"/>
            <w:tcBorders>
              <w:tl2br w:val="nil"/>
              <w:tr2bl w:val="nil"/>
            </w:tcBorders>
            <w:shd w:val="clear" w:color="auto" w:fill="auto"/>
            <w:vAlign w:val="center"/>
          </w:tcPr>
          <w:p w14:paraId="036D45D0">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val="en-US" w:eastAsia="zh-CN" w:bidi="ar"/>
              </w:rPr>
              <w:t>学校将教师发展整校推进项目列为一把手工程，成立以党委书记为组长的项目领导小组，将项目纳入学校发展战略和每年度重点工作，明确牵头校领导及分管部门</w:t>
            </w:r>
          </w:p>
        </w:tc>
      </w:tr>
      <w:tr w14:paraId="5486F4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512" w:type="dxa"/>
            <w:vMerge w:val="continue"/>
            <w:tcBorders>
              <w:tl2br w:val="nil"/>
              <w:tr2bl w:val="nil"/>
            </w:tcBorders>
            <w:shd w:val="clear" w:color="auto" w:fill="auto"/>
            <w:noWrap/>
            <w:vAlign w:val="center"/>
          </w:tcPr>
          <w:p w14:paraId="421ABDD9">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bidi="ar"/>
              </w:rPr>
            </w:pPr>
          </w:p>
        </w:tc>
        <w:tc>
          <w:tcPr>
            <w:tcW w:w="1613" w:type="dxa"/>
            <w:vMerge w:val="continue"/>
            <w:tcBorders>
              <w:tl2br w:val="nil"/>
              <w:tr2bl w:val="nil"/>
            </w:tcBorders>
            <w:shd w:val="clear" w:color="auto" w:fill="auto"/>
            <w:noWrap/>
            <w:vAlign w:val="center"/>
          </w:tcPr>
          <w:p w14:paraId="5E822AC4">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bidi="ar"/>
              </w:rPr>
            </w:pPr>
          </w:p>
        </w:tc>
        <w:tc>
          <w:tcPr>
            <w:tcW w:w="10831" w:type="dxa"/>
            <w:tcBorders>
              <w:tl2br w:val="nil"/>
              <w:tr2bl w:val="nil"/>
            </w:tcBorders>
            <w:shd w:val="clear" w:color="auto" w:fill="auto"/>
            <w:vAlign w:val="center"/>
          </w:tcPr>
          <w:p w14:paraId="251FFC1A">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val="en-US" w:eastAsia="zh-CN" w:bidi="ar"/>
              </w:rPr>
              <w:t>学校党委行政定期研究教师发展和教师团队建设工作，纳入学校事业发展规划和教师队伍建设专项发展规划</w:t>
            </w:r>
          </w:p>
        </w:tc>
      </w:tr>
      <w:tr w14:paraId="6F9E3E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512" w:type="dxa"/>
            <w:vMerge w:val="continue"/>
            <w:tcBorders>
              <w:tl2br w:val="nil"/>
              <w:tr2bl w:val="nil"/>
            </w:tcBorders>
            <w:shd w:val="clear" w:color="auto" w:fill="auto"/>
            <w:noWrap/>
            <w:vAlign w:val="center"/>
          </w:tcPr>
          <w:p w14:paraId="47825914">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bidi="ar"/>
              </w:rPr>
            </w:pPr>
          </w:p>
        </w:tc>
        <w:tc>
          <w:tcPr>
            <w:tcW w:w="1613" w:type="dxa"/>
            <w:vMerge w:val="continue"/>
            <w:tcBorders>
              <w:tl2br w:val="nil"/>
              <w:tr2bl w:val="nil"/>
            </w:tcBorders>
            <w:shd w:val="clear" w:color="auto" w:fill="auto"/>
            <w:noWrap/>
            <w:vAlign w:val="center"/>
          </w:tcPr>
          <w:p w14:paraId="31F55FE6">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bidi="ar"/>
              </w:rPr>
            </w:pPr>
          </w:p>
        </w:tc>
        <w:tc>
          <w:tcPr>
            <w:tcW w:w="10831" w:type="dxa"/>
            <w:tcBorders>
              <w:tl2br w:val="nil"/>
              <w:tr2bl w:val="nil"/>
            </w:tcBorders>
            <w:shd w:val="clear" w:color="auto" w:fill="auto"/>
            <w:vAlign w:val="center"/>
          </w:tcPr>
          <w:p w14:paraId="5D72BFDD">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FangSong_GB2312" w:cs="Times New Roman"/>
                <w:color w:val="000000"/>
                <w:kern w:val="0"/>
                <w:szCs w:val="21"/>
                <w:lang w:val="en-US" w:bidi="ar"/>
              </w:rPr>
            </w:pPr>
            <w:r>
              <w:rPr>
                <w:rFonts w:hint="default" w:ascii="Times New Roman" w:hAnsi="Times New Roman" w:eastAsia="FangSong_GB2312" w:cs="Times New Roman"/>
                <w:color w:val="000000"/>
                <w:kern w:val="0"/>
                <w:szCs w:val="21"/>
                <w:lang w:val="en-US" w:eastAsia="zh-CN" w:bidi="ar"/>
              </w:rPr>
              <w:t>学校设立由教务处、人事处、教研处、教师发展中心等部门联合组成的项目推进专班，明确专班职责及分工，保障项目顺利推进</w:t>
            </w:r>
          </w:p>
        </w:tc>
      </w:tr>
      <w:tr w14:paraId="107654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1512" w:type="dxa"/>
            <w:vMerge w:val="continue"/>
            <w:tcBorders>
              <w:tl2br w:val="nil"/>
              <w:tr2bl w:val="nil"/>
            </w:tcBorders>
            <w:shd w:val="clear" w:color="auto" w:fill="auto"/>
            <w:noWrap/>
            <w:vAlign w:val="center"/>
          </w:tcPr>
          <w:p w14:paraId="63F107CF">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bidi="ar"/>
              </w:rPr>
            </w:pPr>
          </w:p>
        </w:tc>
        <w:tc>
          <w:tcPr>
            <w:tcW w:w="1613" w:type="dxa"/>
            <w:vMerge w:val="restart"/>
            <w:tcBorders>
              <w:tl2br w:val="nil"/>
              <w:tr2bl w:val="nil"/>
            </w:tcBorders>
            <w:shd w:val="clear" w:color="auto" w:fill="auto"/>
            <w:noWrap/>
            <w:vAlign w:val="center"/>
          </w:tcPr>
          <w:p w14:paraId="35A14133">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val="en-US" w:eastAsia="zh-CN" w:bidi="ar"/>
              </w:rPr>
            </w:pPr>
            <w:r>
              <w:rPr>
                <w:rFonts w:hint="default" w:ascii="Times New Roman" w:hAnsi="Times New Roman" w:eastAsia="FangSong_GB2312" w:cs="Times New Roman"/>
                <w:color w:val="000000"/>
                <w:kern w:val="0"/>
                <w:szCs w:val="21"/>
                <w:lang w:val="en-US" w:eastAsia="zh-CN" w:bidi="ar"/>
              </w:rPr>
              <w:t>B2.制度保障</w:t>
            </w:r>
          </w:p>
          <w:p w14:paraId="58150D2B">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val="en-US" w:eastAsia="zh-CN" w:bidi="ar"/>
              </w:rPr>
              <w:t>（8分）</w:t>
            </w:r>
          </w:p>
        </w:tc>
        <w:tc>
          <w:tcPr>
            <w:tcW w:w="10831" w:type="dxa"/>
            <w:tcBorders>
              <w:tl2br w:val="nil"/>
              <w:tr2bl w:val="nil"/>
            </w:tcBorders>
            <w:shd w:val="clear" w:color="auto" w:fill="auto"/>
            <w:vAlign w:val="center"/>
          </w:tcPr>
          <w:p w14:paraId="4CD0CCEE">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FangSong_GB2312" w:cs="Times New Roman"/>
                <w:color w:val="000000"/>
                <w:kern w:val="0"/>
                <w:szCs w:val="21"/>
                <w:lang w:val="en-US" w:eastAsia="zh-CN" w:bidi="ar"/>
              </w:rPr>
            </w:pPr>
            <w:r>
              <w:rPr>
                <w:rFonts w:hint="default" w:ascii="Times New Roman" w:hAnsi="Times New Roman" w:eastAsia="FangSong_GB2312" w:cs="Times New Roman"/>
                <w:color w:val="000000"/>
                <w:kern w:val="0"/>
                <w:szCs w:val="21"/>
                <w:lang w:val="en-US" w:eastAsia="zh-CN" w:bidi="ar"/>
              </w:rPr>
              <w:t>学校制定项目建设实施方案，涵盖建设任务、关键节点、建设举措、团队架构、经费计划、建设目标及考核评价等内容，内容详实完整</w:t>
            </w:r>
          </w:p>
        </w:tc>
      </w:tr>
      <w:tr w14:paraId="519AF0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1512" w:type="dxa"/>
            <w:vMerge w:val="continue"/>
            <w:tcBorders>
              <w:tl2br w:val="nil"/>
              <w:tr2bl w:val="nil"/>
            </w:tcBorders>
            <w:shd w:val="clear" w:color="auto" w:fill="auto"/>
            <w:noWrap/>
            <w:vAlign w:val="center"/>
          </w:tcPr>
          <w:p w14:paraId="4DFA10ED">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bidi="ar"/>
              </w:rPr>
            </w:pPr>
          </w:p>
        </w:tc>
        <w:tc>
          <w:tcPr>
            <w:tcW w:w="1613" w:type="dxa"/>
            <w:vMerge w:val="continue"/>
            <w:tcBorders>
              <w:tl2br w:val="nil"/>
              <w:tr2bl w:val="nil"/>
            </w:tcBorders>
            <w:shd w:val="clear" w:color="auto" w:fill="auto"/>
            <w:noWrap/>
            <w:vAlign w:val="center"/>
          </w:tcPr>
          <w:p w14:paraId="2D8575DA">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bidi="ar"/>
              </w:rPr>
            </w:pPr>
          </w:p>
        </w:tc>
        <w:tc>
          <w:tcPr>
            <w:tcW w:w="10831" w:type="dxa"/>
            <w:tcBorders>
              <w:tl2br w:val="nil"/>
              <w:tr2bl w:val="nil"/>
            </w:tcBorders>
            <w:shd w:val="clear" w:color="auto" w:fill="auto"/>
            <w:vAlign w:val="center"/>
          </w:tcPr>
          <w:p w14:paraId="2729358F">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val="en-US" w:eastAsia="zh-CN" w:bidi="ar"/>
              </w:rPr>
              <w:t>学校制定项目管理专项制度，落实实施细则，涵盖组织架构、职责分工、流程规范及质量考核等，确保制度体系完整可操作</w:t>
            </w:r>
          </w:p>
        </w:tc>
      </w:tr>
      <w:tr w14:paraId="7D4459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512" w:type="dxa"/>
            <w:vMerge w:val="continue"/>
            <w:tcBorders>
              <w:tl2br w:val="nil"/>
              <w:tr2bl w:val="nil"/>
            </w:tcBorders>
            <w:shd w:val="clear" w:color="auto" w:fill="auto"/>
            <w:noWrap/>
            <w:vAlign w:val="center"/>
          </w:tcPr>
          <w:p w14:paraId="1CCCB94C">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bidi="ar"/>
              </w:rPr>
            </w:pPr>
          </w:p>
        </w:tc>
        <w:tc>
          <w:tcPr>
            <w:tcW w:w="1613" w:type="dxa"/>
            <w:vMerge w:val="continue"/>
            <w:tcBorders>
              <w:tl2br w:val="nil"/>
              <w:tr2bl w:val="nil"/>
            </w:tcBorders>
            <w:shd w:val="clear" w:color="auto" w:fill="auto"/>
            <w:noWrap/>
            <w:vAlign w:val="center"/>
          </w:tcPr>
          <w:p w14:paraId="51F422FD">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bidi="ar"/>
              </w:rPr>
            </w:pPr>
          </w:p>
        </w:tc>
        <w:tc>
          <w:tcPr>
            <w:tcW w:w="10831" w:type="dxa"/>
            <w:tcBorders>
              <w:tl2br w:val="nil"/>
              <w:tr2bl w:val="nil"/>
            </w:tcBorders>
            <w:shd w:val="clear" w:color="auto" w:fill="auto"/>
            <w:vAlign w:val="center"/>
          </w:tcPr>
          <w:p w14:paraId="3E7248FF">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FangSong_GB2312" w:cs="Times New Roman"/>
                <w:color w:val="000000"/>
                <w:kern w:val="0"/>
                <w:szCs w:val="21"/>
                <w:lang w:val="en-US" w:bidi="ar"/>
              </w:rPr>
            </w:pPr>
            <w:r>
              <w:rPr>
                <w:rFonts w:hint="default" w:ascii="Times New Roman" w:hAnsi="Times New Roman" w:eastAsia="FangSong_GB2312" w:cs="Times New Roman"/>
                <w:color w:val="000000"/>
                <w:kern w:val="0"/>
                <w:szCs w:val="21"/>
                <w:lang w:val="en-US" w:eastAsia="zh-CN" w:bidi="ar"/>
              </w:rPr>
              <w:t>学校教师发展支持制度健全，包括学历提升、企业实践、访学研修、课题研究等支持政策</w:t>
            </w:r>
          </w:p>
        </w:tc>
      </w:tr>
      <w:tr w14:paraId="56937C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512" w:type="dxa"/>
            <w:vMerge w:val="continue"/>
            <w:tcBorders>
              <w:tl2br w:val="nil"/>
              <w:tr2bl w:val="nil"/>
            </w:tcBorders>
            <w:shd w:val="clear" w:color="auto" w:fill="auto"/>
            <w:noWrap/>
            <w:vAlign w:val="center"/>
          </w:tcPr>
          <w:p w14:paraId="36FE766D">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bidi="ar"/>
              </w:rPr>
            </w:pPr>
          </w:p>
        </w:tc>
        <w:tc>
          <w:tcPr>
            <w:tcW w:w="1613" w:type="dxa"/>
            <w:vMerge w:val="continue"/>
            <w:tcBorders>
              <w:tl2br w:val="nil"/>
              <w:tr2bl w:val="nil"/>
            </w:tcBorders>
            <w:shd w:val="clear" w:color="auto" w:fill="auto"/>
            <w:noWrap/>
            <w:vAlign w:val="center"/>
          </w:tcPr>
          <w:p w14:paraId="64ED2A90">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bidi="ar"/>
              </w:rPr>
            </w:pPr>
          </w:p>
        </w:tc>
        <w:tc>
          <w:tcPr>
            <w:tcW w:w="10831" w:type="dxa"/>
            <w:tcBorders>
              <w:tl2br w:val="nil"/>
              <w:tr2bl w:val="nil"/>
            </w:tcBorders>
            <w:shd w:val="clear" w:color="auto" w:fill="auto"/>
            <w:vAlign w:val="center"/>
          </w:tcPr>
          <w:p w14:paraId="20A84EA0">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val="en-US" w:eastAsia="zh-CN" w:bidi="ar"/>
              </w:rPr>
              <w:t>学校建立教师成果考核奖励办法，将项目建设成效、教学贡献与职称评先、评优、绩效奖励挂钩</w:t>
            </w:r>
          </w:p>
        </w:tc>
      </w:tr>
      <w:tr w14:paraId="3D7041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512" w:type="dxa"/>
            <w:vMerge w:val="continue"/>
            <w:tcBorders>
              <w:tl2br w:val="nil"/>
              <w:tr2bl w:val="nil"/>
            </w:tcBorders>
            <w:shd w:val="clear" w:color="auto" w:fill="auto"/>
            <w:noWrap/>
            <w:vAlign w:val="center"/>
          </w:tcPr>
          <w:p w14:paraId="27EA9EA5">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bidi="ar"/>
              </w:rPr>
            </w:pPr>
          </w:p>
        </w:tc>
        <w:tc>
          <w:tcPr>
            <w:tcW w:w="1613" w:type="dxa"/>
            <w:vMerge w:val="restart"/>
            <w:tcBorders>
              <w:tl2br w:val="nil"/>
              <w:tr2bl w:val="nil"/>
            </w:tcBorders>
            <w:shd w:val="clear" w:color="auto" w:fill="auto"/>
            <w:noWrap/>
            <w:vAlign w:val="center"/>
          </w:tcPr>
          <w:p w14:paraId="3DBBB28A">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val="en-US" w:eastAsia="zh-CN" w:bidi="ar"/>
              </w:rPr>
              <w:t>B3 经费资源（10分）</w:t>
            </w:r>
          </w:p>
        </w:tc>
        <w:tc>
          <w:tcPr>
            <w:tcW w:w="10831" w:type="dxa"/>
            <w:tcBorders>
              <w:tl2br w:val="nil"/>
              <w:tr2bl w:val="nil"/>
            </w:tcBorders>
            <w:shd w:val="clear" w:color="auto" w:fill="auto"/>
            <w:vAlign w:val="center"/>
          </w:tcPr>
          <w:p w14:paraId="421F8D01">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val="en-US" w:eastAsia="zh-CN" w:bidi="ar"/>
              </w:rPr>
              <w:t>学校建立项目经费预决算制度，设立专项经费管理账户，形成经费单列、单账、单管模式</w:t>
            </w:r>
          </w:p>
        </w:tc>
      </w:tr>
      <w:tr w14:paraId="6F1E68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1512" w:type="dxa"/>
            <w:vMerge w:val="continue"/>
            <w:tcBorders>
              <w:tl2br w:val="nil"/>
              <w:tr2bl w:val="nil"/>
            </w:tcBorders>
            <w:shd w:val="clear" w:color="auto" w:fill="auto"/>
            <w:noWrap/>
            <w:vAlign w:val="center"/>
          </w:tcPr>
          <w:p w14:paraId="50B955D2">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bidi="ar"/>
              </w:rPr>
            </w:pPr>
          </w:p>
        </w:tc>
        <w:tc>
          <w:tcPr>
            <w:tcW w:w="1613" w:type="dxa"/>
            <w:vMerge w:val="continue"/>
            <w:tcBorders>
              <w:tl2br w:val="nil"/>
              <w:tr2bl w:val="nil"/>
            </w:tcBorders>
            <w:shd w:val="clear" w:color="auto" w:fill="auto"/>
            <w:noWrap/>
            <w:vAlign w:val="center"/>
          </w:tcPr>
          <w:p w14:paraId="48C16652">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bidi="ar"/>
              </w:rPr>
            </w:pPr>
          </w:p>
        </w:tc>
        <w:tc>
          <w:tcPr>
            <w:tcW w:w="10831" w:type="dxa"/>
            <w:tcBorders>
              <w:tl2br w:val="nil"/>
              <w:tr2bl w:val="nil"/>
            </w:tcBorders>
            <w:shd w:val="clear" w:color="auto" w:fill="auto"/>
            <w:vAlign w:val="center"/>
          </w:tcPr>
          <w:p w14:paraId="66FF3835">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w w:val="96"/>
                <w:kern w:val="0"/>
                <w:sz w:val="21"/>
                <w:szCs w:val="21"/>
                <w:lang w:val="en-US" w:eastAsia="zh-CN" w:bidi="ar"/>
              </w:rPr>
              <w:t>学校对本项目每年配套经费不少10万元，经费预算科学，包含教师培训、成果物化、资源购置、成果推广等多类支出</w:t>
            </w:r>
          </w:p>
        </w:tc>
      </w:tr>
      <w:tr w14:paraId="2C7FE8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1512" w:type="dxa"/>
            <w:vMerge w:val="continue"/>
            <w:tcBorders>
              <w:tl2br w:val="nil"/>
              <w:tr2bl w:val="nil"/>
            </w:tcBorders>
            <w:shd w:val="clear" w:color="auto" w:fill="auto"/>
            <w:noWrap/>
            <w:vAlign w:val="center"/>
          </w:tcPr>
          <w:p w14:paraId="0BF5FE95">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bidi="ar"/>
              </w:rPr>
            </w:pPr>
          </w:p>
        </w:tc>
        <w:tc>
          <w:tcPr>
            <w:tcW w:w="1613" w:type="dxa"/>
            <w:vMerge w:val="continue"/>
            <w:tcBorders>
              <w:tl2br w:val="nil"/>
              <w:tr2bl w:val="nil"/>
            </w:tcBorders>
            <w:shd w:val="clear" w:color="auto" w:fill="auto"/>
            <w:noWrap/>
            <w:vAlign w:val="center"/>
          </w:tcPr>
          <w:p w14:paraId="1038E4DF">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bidi="ar"/>
              </w:rPr>
            </w:pPr>
          </w:p>
        </w:tc>
        <w:tc>
          <w:tcPr>
            <w:tcW w:w="10831" w:type="dxa"/>
            <w:tcBorders>
              <w:tl2br w:val="nil"/>
              <w:tr2bl w:val="nil"/>
            </w:tcBorders>
            <w:shd w:val="clear" w:color="auto" w:fill="auto"/>
            <w:vAlign w:val="center"/>
          </w:tcPr>
          <w:p w14:paraId="327B9762">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val="en-US" w:eastAsia="zh-CN" w:bidi="ar"/>
              </w:rPr>
              <w:t>学校每年度形成规范的经费决算报告，含预算执行率、使用成效分析、各类凭证和票据等</w:t>
            </w:r>
          </w:p>
        </w:tc>
      </w:tr>
      <w:tr w14:paraId="582EEA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512" w:type="dxa"/>
            <w:vMerge w:val="continue"/>
            <w:tcBorders>
              <w:tl2br w:val="nil"/>
              <w:tr2bl w:val="nil"/>
            </w:tcBorders>
            <w:shd w:val="clear" w:color="auto" w:fill="auto"/>
            <w:noWrap/>
            <w:vAlign w:val="center"/>
          </w:tcPr>
          <w:p w14:paraId="28BBCAA9">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bidi="ar"/>
              </w:rPr>
            </w:pPr>
          </w:p>
        </w:tc>
        <w:tc>
          <w:tcPr>
            <w:tcW w:w="1613" w:type="dxa"/>
            <w:vMerge w:val="continue"/>
            <w:tcBorders>
              <w:tl2br w:val="nil"/>
              <w:tr2bl w:val="nil"/>
            </w:tcBorders>
            <w:shd w:val="clear" w:color="auto" w:fill="auto"/>
            <w:noWrap/>
            <w:vAlign w:val="center"/>
          </w:tcPr>
          <w:p w14:paraId="72B7060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bidi="ar"/>
              </w:rPr>
            </w:pPr>
          </w:p>
        </w:tc>
        <w:tc>
          <w:tcPr>
            <w:tcW w:w="10831" w:type="dxa"/>
            <w:tcBorders>
              <w:tl2br w:val="nil"/>
              <w:tr2bl w:val="nil"/>
            </w:tcBorders>
            <w:shd w:val="clear" w:color="auto" w:fill="auto"/>
            <w:vAlign w:val="center"/>
          </w:tcPr>
          <w:p w14:paraId="2C664CE5">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val="en-US" w:eastAsia="zh-CN" w:bidi="ar"/>
              </w:rPr>
              <w:t>团队教师参加研修活动有专项经费支持，使用台账详实</w:t>
            </w:r>
          </w:p>
        </w:tc>
      </w:tr>
      <w:tr w14:paraId="7A0F17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jc w:val="center"/>
        </w:trPr>
        <w:tc>
          <w:tcPr>
            <w:tcW w:w="1512" w:type="dxa"/>
            <w:vMerge w:val="continue"/>
            <w:tcBorders>
              <w:tl2br w:val="nil"/>
              <w:tr2bl w:val="nil"/>
            </w:tcBorders>
            <w:shd w:val="clear" w:color="auto" w:fill="auto"/>
            <w:noWrap/>
            <w:vAlign w:val="center"/>
          </w:tcPr>
          <w:p w14:paraId="73722E94">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bidi="ar"/>
              </w:rPr>
            </w:pPr>
          </w:p>
        </w:tc>
        <w:tc>
          <w:tcPr>
            <w:tcW w:w="1613" w:type="dxa"/>
            <w:vMerge w:val="restart"/>
            <w:tcBorders>
              <w:tl2br w:val="nil"/>
              <w:tr2bl w:val="nil"/>
            </w:tcBorders>
            <w:shd w:val="clear" w:color="auto" w:fill="auto"/>
            <w:noWrap/>
            <w:vAlign w:val="center"/>
          </w:tcPr>
          <w:p w14:paraId="47E7677A">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val="en-US" w:eastAsia="zh-CN" w:bidi="ar"/>
              </w:rPr>
              <w:t>B4.过程管理（6分）</w:t>
            </w:r>
          </w:p>
        </w:tc>
        <w:tc>
          <w:tcPr>
            <w:tcW w:w="10831" w:type="dxa"/>
            <w:tcBorders>
              <w:tl2br w:val="nil"/>
              <w:tr2bl w:val="nil"/>
            </w:tcBorders>
            <w:shd w:val="clear" w:color="auto" w:fill="auto"/>
            <w:vAlign w:val="center"/>
          </w:tcPr>
          <w:p w14:paraId="34FC62B0">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FangSong_GB2312" w:cs="Times New Roman"/>
                <w:color w:val="000000"/>
                <w:w w:val="96"/>
                <w:kern w:val="0"/>
                <w:sz w:val="21"/>
                <w:szCs w:val="21"/>
                <w:lang w:val="en-US" w:eastAsia="zh-CN" w:bidi="ar"/>
              </w:rPr>
            </w:pPr>
            <w:r>
              <w:rPr>
                <w:rFonts w:hint="default" w:ascii="Times New Roman" w:hAnsi="Times New Roman" w:eastAsia="FangSong_GB2312" w:cs="Times New Roman"/>
                <w:color w:val="000000"/>
                <w:w w:val="96"/>
                <w:kern w:val="0"/>
                <w:sz w:val="21"/>
                <w:szCs w:val="21"/>
                <w:lang w:val="en-US" w:eastAsia="zh-CN" w:bidi="ar"/>
              </w:rPr>
              <w:t>教师发展中心场地设施齐全，管理制度完善，中心配备不少于2人的专职人员，为每个团队配备专用办公场地、实训室等</w:t>
            </w:r>
          </w:p>
        </w:tc>
      </w:tr>
      <w:tr w14:paraId="06DED3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512" w:type="dxa"/>
            <w:vMerge w:val="continue"/>
            <w:tcBorders>
              <w:tl2br w:val="nil"/>
              <w:tr2bl w:val="nil"/>
            </w:tcBorders>
            <w:shd w:val="clear" w:color="auto" w:fill="auto"/>
            <w:noWrap/>
            <w:vAlign w:val="center"/>
          </w:tcPr>
          <w:p w14:paraId="7FF4C9ED">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bidi="ar"/>
              </w:rPr>
            </w:pPr>
          </w:p>
        </w:tc>
        <w:tc>
          <w:tcPr>
            <w:tcW w:w="1613" w:type="dxa"/>
            <w:vMerge w:val="continue"/>
            <w:tcBorders>
              <w:tl2br w:val="nil"/>
              <w:tr2bl w:val="nil"/>
            </w:tcBorders>
            <w:shd w:val="clear" w:color="auto" w:fill="auto"/>
            <w:noWrap/>
            <w:vAlign w:val="center"/>
          </w:tcPr>
          <w:p w14:paraId="5B12D98A">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bidi="ar"/>
              </w:rPr>
            </w:pPr>
          </w:p>
        </w:tc>
        <w:tc>
          <w:tcPr>
            <w:tcW w:w="10831" w:type="dxa"/>
            <w:tcBorders>
              <w:tl2br w:val="nil"/>
              <w:tr2bl w:val="nil"/>
            </w:tcBorders>
            <w:shd w:val="clear" w:color="auto" w:fill="auto"/>
            <w:vAlign w:val="center"/>
          </w:tcPr>
          <w:p w14:paraId="2C3D99EF">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val="en-US" w:eastAsia="zh-CN" w:bidi="ar"/>
              </w:rPr>
              <w:t>成立学校教师发展专家指导组，对团队建设定期开展指导与论证，每学期开展不少于一次的指导活动</w:t>
            </w:r>
          </w:p>
        </w:tc>
      </w:tr>
      <w:tr w14:paraId="4DEB6B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512" w:type="dxa"/>
            <w:vMerge w:val="continue"/>
            <w:tcBorders>
              <w:tl2br w:val="nil"/>
              <w:tr2bl w:val="nil"/>
            </w:tcBorders>
            <w:shd w:val="clear" w:color="auto" w:fill="auto"/>
            <w:noWrap/>
            <w:vAlign w:val="center"/>
          </w:tcPr>
          <w:p w14:paraId="1FF2B2CB">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bidi="ar"/>
              </w:rPr>
            </w:pPr>
          </w:p>
        </w:tc>
        <w:tc>
          <w:tcPr>
            <w:tcW w:w="1613" w:type="dxa"/>
            <w:vMerge w:val="continue"/>
            <w:tcBorders>
              <w:tl2br w:val="nil"/>
              <w:tr2bl w:val="nil"/>
            </w:tcBorders>
            <w:shd w:val="clear" w:color="auto" w:fill="auto"/>
            <w:noWrap/>
            <w:vAlign w:val="center"/>
          </w:tcPr>
          <w:p w14:paraId="7CD84E7C">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bidi="ar"/>
              </w:rPr>
            </w:pPr>
          </w:p>
        </w:tc>
        <w:tc>
          <w:tcPr>
            <w:tcW w:w="10831" w:type="dxa"/>
            <w:tcBorders>
              <w:tl2br w:val="nil"/>
              <w:tr2bl w:val="nil"/>
            </w:tcBorders>
            <w:shd w:val="clear" w:color="auto" w:fill="auto"/>
            <w:vAlign w:val="center"/>
          </w:tcPr>
          <w:p w14:paraId="31640E7F">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w w:val="96"/>
                <w:kern w:val="0"/>
                <w:sz w:val="21"/>
                <w:szCs w:val="21"/>
                <w:lang w:val="en-US" w:eastAsia="zh-CN" w:bidi="ar"/>
              </w:rPr>
              <w:t>学校建立团队建设进度台账与年度推进计划，定期召开调度会，通报进展、协调资源、解决难点，确保节点目标如期达成</w:t>
            </w:r>
          </w:p>
        </w:tc>
      </w:tr>
      <w:tr w14:paraId="0B169F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512" w:type="dxa"/>
            <w:vMerge w:val="restart"/>
            <w:tcBorders>
              <w:tl2br w:val="nil"/>
              <w:tr2bl w:val="nil"/>
            </w:tcBorders>
            <w:shd w:val="clear" w:color="auto" w:fill="auto"/>
            <w:noWrap/>
            <w:vAlign w:val="center"/>
          </w:tcPr>
          <w:p w14:paraId="66134ECA">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val="en-US" w:eastAsia="zh-CN" w:bidi="ar"/>
              </w:rPr>
              <w:t>A2.团队文化（10分）</w:t>
            </w:r>
          </w:p>
        </w:tc>
        <w:tc>
          <w:tcPr>
            <w:tcW w:w="1613" w:type="dxa"/>
            <w:vMerge w:val="restart"/>
            <w:tcBorders>
              <w:tl2br w:val="nil"/>
              <w:tr2bl w:val="nil"/>
            </w:tcBorders>
            <w:shd w:val="clear" w:color="auto" w:fill="auto"/>
            <w:noWrap/>
            <w:vAlign w:val="center"/>
          </w:tcPr>
          <w:p w14:paraId="2C8ED9E7">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val="en-US" w:eastAsia="zh-CN" w:bidi="ar"/>
              </w:rPr>
            </w:pPr>
            <w:r>
              <w:rPr>
                <w:rFonts w:hint="default" w:ascii="Times New Roman" w:hAnsi="Times New Roman" w:eastAsia="FangSong_GB2312" w:cs="Times New Roman"/>
                <w:color w:val="000000"/>
                <w:kern w:val="0"/>
                <w:szCs w:val="21"/>
                <w:lang w:val="en-US" w:eastAsia="zh-CN" w:bidi="ar"/>
              </w:rPr>
              <w:t>B5.文化理念</w:t>
            </w:r>
          </w:p>
          <w:p w14:paraId="3E27D986">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val="en-US" w:eastAsia="zh-CN" w:bidi="ar"/>
              </w:rPr>
              <w:t>（2分）</w:t>
            </w:r>
          </w:p>
        </w:tc>
        <w:tc>
          <w:tcPr>
            <w:tcW w:w="10831" w:type="dxa"/>
            <w:tcBorders>
              <w:tl2br w:val="nil"/>
              <w:tr2bl w:val="nil"/>
            </w:tcBorders>
            <w:shd w:val="clear" w:color="auto" w:fill="auto"/>
            <w:vAlign w:val="center"/>
          </w:tcPr>
          <w:p w14:paraId="03AB4C4D">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FangSong_GB2312" w:cs="Times New Roman"/>
                <w:color w:val="000000"/>
                <w:kern w:val="0"/>
                <w:szCs w:val="21"/>
                <w:lang w:val="en-US" w:bidi="ar"/>
              </w:rPr>
            </w:pPr>
            <w:r>
              <w:rPr>
                <w:rFonts w:hint="default" w:ascii="Times New Roman" w:hAnsi="Times New Roman" w:eastAsia="FangSong_GB2312" w:cs="Times New Roman"/>
                <w:color w:val="000000"/>
                <w:kern w:val="0"/>
                <w:szCs w:val="21"/>
                <w:lang w:val="en-US" w:eastAsia="zh-CN" w:bidi="ar"/>
              </w:rPr>
              <w:t>各团队围绕学校文化、专业特色与党建品牌，凝炼形成团队发展愿景、教学主张</w:t>
            </w:r>
          </w:p>
        </w:tc>
      </w:tr>
      <w:tr w14:paraId="53A2B8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1512" w:type="dxa"/>
            <w:vMerge w:val="continue"/>
            <w:tcBorders>
              <w:tl2br w:val="nil"/>
              <w:tr2bl w:val="nil"/>
            </w:tcBorders>
            <w:shd w:val="clear" w:color="auto" w:fill="auto"/>
            <w:noWrap/>
            <w:vAlign w:val="center"/>
          </w:tcPr>
          <w:p w14:paraId="33631B72">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bidi="ar"/>
              </w:rPr>
            </w:pPr>
          </w:p>
        </w:tc>
        <w:tc>
          <w:tcPr>
            <w:tcW w:w="1613" w:type="dxa"/>
            <w:vMerge w:val="continue"/>
            <w:tcBorders>
              <w:tl2br w:val="nil"/>
              <w:tr2bl w:val="nil"/>
            </w:tcBorders>
            <w:shd w:val="clear" w:color="auto" w:fill="auto"/>
            <w:noWrap/>
            <w:vAlign w:val="center"/>
          </w:tcPr>
          <w:p w14:paraId="05FD1FC1">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bidi="ar"/>
              </w:rPr>
            </w:pPr>
          </w:p>
        </w:tc>
        <w:tc>
          <w:tcPr>
            <w:tcW w:w="10831" w:type="dxa"/>
            <w:tcBorders>
              <w:tl2br w:val="nil"/>
              <w:tr2bl w:val="nil"/>
            </w:tcBorders>
            <w:shd w:val="clear" w:color="auto" w:fill="auto"/>
            <w:vAlign w:val="center"/>
          </w:tcPr>
          <w:p w14:paraId="7F800563">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FangSong_GB2312" w:cs="Times New Roman"/>
                <w:color w:val="000000"/>
                <w:kern w:val="0"/>
                <w:szCs w:val="21"/>
                <w:lang w:val="en-US" w:bidi="ar"/>
              </w:rPr>
            </w:pPr>
            <w:r>
              <w:rPr>
                <w:rFonts w:hint="default" w:ascii="Times New Roman" w:hAnsi="Times New Roman" w:eastAsia="FangSong_GB2312" w:cs="Times New Roman"/>
                <w:color w:val="000000"/>
                <w:kern w:val="0"/>
                <w:szCs w:val="21"/>
                <w:lang w:val="en-US" w:eastAsia="zh-CN" w:bidi="ar"/>
              </w:rPr>
              <w:t>各团队通过文化上墙、会议、研讨、宣传栏等形式向广大教师宣传团队的文化理念和教学主张</w:t>
            </w:r>
          </w:p>
        </w:tc>
      </w:tr>
      <w:tr w14:paraId="14D58E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512" w:type="dxa"/>
            <w:vMerge w:val="continue"/>
            <w:tcBorders>
              <w:tl2br w:val="nil"/>
              <w:tr2bl w:val="nil"/>
            </w:tcBorders>
            <w:shd w:val="clear" w:color="auto" w:fill="auto"/>
            <w:noWrap/>
            <w:vAlign w:val="center"/>
          </w:tcPr>
          <w:p w14:paraId="14A8916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bidi="ar"/>
              </w:rPr>
            </w:pPr>
          </w:p>
        </w:tc>
        <w:tc>
          <w:tcPr>
            <w:tcW w:w="1613" w:type="dxa"/>
            <w:vMerge w:val="restart"/>
            <w:tcBorders>
              <w:tl2br w:val="nil"/>
              <w:tr2bl w:val="nil"/>
            </w:tcBorders>
            <w:shd w:val="clear" w:color="auto" w:fill="auto"/>
            <w:noWrap/>
            <w:vAlign w:val="center"/>
          </w:tcPr>
          <w:p w14:paraId="18F7AD8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val="en-US" w:eastAsia="zh-CN" w:bidi="ar"/>
              </w:rPr>
            </w:pPr>
            <w:r>
              <w:rPr>
                <w:rFonts w:hint="default" w:ascii="Times New Roman" w:hAnsi="Times New Roman" w:eastAsia="FangSong_GB2312" w:cs="Times New Roman"/>
                <w:color w:val="000000"/>
                <w:kern w:val="0"/>
                <w:szCs w:val="21"/>
                <w:lang w:val="en-US" w:eastAsia="zh-CN" w:bidi="ar"/>
              </w:rPr>
              <w:t>B6.文化制度</w:t>
            </w:r>
          </w:p>
          <w:p w14:paraId="121CFFFC">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val="en-US" w:eastAsia="zh-CN" w:bidi="ar"/>
              </w:rPr>
              <w:t>（4分）</w:t>
            </w:r>
          </w:p>
        </w:tc>
        <w:tc>
          <w:tcPr>
            <w:tcW w:w="10831" w:type="dxa"/>
            <w:tcBorders>
              <w:tl2br w:val="nil"/>
              <w:tr2bl w:val="nil"/>
            </w:tcBorders>
            <w:shd w:val="clear" w:color="auto" w:fill="auto"/>
            <w:vAlign w:val="center"/>
          </w:tcPr>
          <w:p w14:paraId="4490DEDE">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FangSong_GB2312" w:cs="Times New Roman"/>
                <w:color w:val="000000"/>
                <w:kern w:val="0"/>
                <w:szCs w:val="21"/>
                <w:lang w:val="en-US" w:eastAsia="zh-CN" w:bidi="ar"/>
              </w:rPr>
            </w:pPr>
            <w:r>
              <w:rPr>
                <w:rFonts w:hint="default" w:ascii="Times New Roman" w:hAnsi="Times New Roman" w:eastAsia="FangSong_GB2312" w:cs="Times New Roman"/>
                <w:color w:val="000000"/>
                <w:kern w:val="0"/>
                <w:szCs w:val="21"/>
                <w:lang w:val="en-US" w:eastAsia="zh-CN" w:bidi="ar"/>
              </w:rPr>
              <w:t>各团队形成可操作的团队行为准则或公约，涵盖协作、创新、分享等关键维度</w:t>
            </w:r>
          </w:p>
        </w:tc>
      </w:tr>
      <w:tr w14:paraId="59DEFE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512" w:type="dxa"/>
            <w:vMerge w:val="continue"/>
            <w:tcBorders>
              <w:tl2br w:val="nil"/>
              <w:tr2bl w:val="nil"/>
            </w:tcBorders>
            <w:shd w:val="clear" w:color="auto" w:fill="auto"/>
            <w:noWrap/>
            <w:vAlign w:val="center"/>
          </w:tcPr>
          <w:p w14:paraId="21B29FE8">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bidi="ar"/>
              </w:rPr>
            </w:pPr>
          </w:p>
        </w:tc>
        <w:tc>
          <w:tcPr>
            <w:tcW w:w="1613" w:type="dxa"/>
            <w:vMerge w:val="continue"/>
            <w:tcBorders>
              <w:tl2br w:val="nil"/>
              <w:tr2bl w:val="nil"/>
            </w:tcBorders>
            <w:shd w:val="clear" w:color="auto" w:fill="auto"/>
            <w:noWrap/>
            <w:vAlign w:val="center"/>
          </w:tcPr>
          <w:p w14:paraId="4B9F231D">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bidi="ar"/>
              </w:rPr>
            </w:pPr>
          </w:p>
        </w:tc>
        <w:tc>
          <w:tcPr>
            <w:tcW w:w="10831" w:type="dxa"/>
            <w:tcBorders>
              <w:tl2br w:val="nil"/>
              <w:tr2bl w:val="nil"/>
            </w:tcBorders>
            <w:shd w:val="clear" w:color="auto" w:fill="auto"/>
            <w:vAlign w:val="center"/>
          </w:tcPr>
          <w:p w14:paraId="5ECD2AF4">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FangSong_GB2312" w:cs="Times New Roman"/>
                <w:color w:val="000000"/>
                <w:kern w:val="0"/>
                <w:szCs w:val="21"/>
                <w:lang w:val="en-US" w:bidi="ar"/>
              </w:rPr>
            </w:pPr>
            <w:r>
              <w:rPr>
                <w:rFonts w:hint="default" w:ascii="Times New Roman" w:hAnsi="Times New Roman" w:eastAsia="FangSong_GB2312" w:cs="Times New Roman"/>
                <w:color w:val="000000"/>
                <w:kern w:val="0"/>
                <w:szCs w:val="21"/>
                <w:lang w:val="en-US" w:eastAsia="zh-CN" w:bidi="ar"/>
              </w:rPr>
              <w:t>各团队形成团队文化建设方案，包括文化目标、建设任务与实施路径等</w:t>
            </w:r>
          </w:p>
        </w:tc>
      </w:tr>
      <w:tr w14:paraId="6E2B62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512" w:type="dxa"/>
            <w:vMerge w:val="continue"/>
            <w:tcBorders>
              <w:tl2br w:val="nil"/>
              <w:tr2bl w:val="nil"/>
            </w:tcBorders>
            <w:shd w:val="clear" w:color="auto" w:fill="auto"/>
            <w:noWrap/>
            <w:vAlign w:val="center"/>
          </w:tcPr>
          <w:p w14:paraId="61520FBA">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bidi="ar"/>
              </w:rPr>
            </w:pPr>
          </w:p>
        </w:tc>
        <w:tc>
          <w:tcPr>
            <w:tcW w:w="1613" w:type="dxa"/>
            <w:vMerge w:val="continue"/>
            <w:tcBorders>
              <w:tl2br w:val="nil"/>
              <w:tr2bl w:val="nil"/>
            </w:tcBorders>
            <w:shd w:val="clear" w:color="auto" w:fill="auto"/>
            <w:noWrap/>
            <w:vAlign w:val="center"/>
          </w:tcPr>
          <w:p w14:paraId="40B0F088">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bidi="ar"/>
              </w:rPr>
            </w:pPr>
          </w:p>
        </w:tc>
        <w:tc>
          <w:tcPr>
            <w:tcW w:w="10831" w:type="dxa"/>
            <w:tcBorders>
              <w:tl2br w:val="nil"/>
              <w:tr2bl w:val="nil"/>
            </w:tcBorders>
            <w:shd w:val="clear" w:color="auto" w:fill="auto"/>
            <w:vAlign w:val="center"/>
          </w:tcPr>
          <w:p w14:paraId="4749A2CC">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val="en-US" w:eastAsia="zh-CN" w:bidi="ar"/>
              </w:rPr>
              <w:t>各团队结合团队发展阶段动态调整重点任务与活动内容，对文化建设方案进行修订</w:t>
            </w:r>
          </w:p>
        </w:tc>
      </w:tr>
      <w:tr w14:paraId="53C30C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1512" w:type="dxa"/>
            <w:vMerge w:val="continue"/>
            <w:tcBorders>
              <w:tl2br w:val="nil"/>
              <w:tr2bl w:val="nil"/>
            </w:tcBorders>
            <w:shd w:val="clear" w:color="auto" w:fill="auto"/>
            <w:noWrap/>
            <w:vAlign w:val="center"/>
          </w:tcPr>
          <w:p w14:paraId="5FD59EA9">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bidi="ar"/>
              </w:rPr>
            </w:pPr>
          </w:p>
        </w:tc>
        <w:tc>
          <w:tcPr>
            <w:tcW w:w="1613" w:type="dxa"/>
            <w:vMerge w:val="continue"/>
            <w:tcBorders>
              <w:tl2br w:val="nil"/>
              <w:tr2bl w:val="nil"/>
            </w:tcBorders>
            <w:shd w:val="clear" w:color="auto" w:fill="auto"/>
            <w:noWrap/>
            <w:vAlign w:val="center"/>
          </w:tcPr>
          <w:p w14:paraId="45D21E96">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bidi="ar"/>
              </w:rPr>
            </w:pPr>
          </w:p>
        </w:tc>
        <w:tc>
          <w:tcPr>
            <w:tcW w:w="10831" w:type="dxa"/>
            <w:tcBorders>
              <w:tl2br w:val="nil"/>
              <w:tr2bl w:val="nil"/>
            </w:tcBorders>
            <w:shd w:val="clear" w:color="auto" w:fill="auto"/>
            <w:vAlign w:val="center"/>
          </w:tcPr>
          <w:p w14:paraId="4790FF3B">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val="en-US" w:eastAsia="zh-CN" w:bidi="ar"/>
              </w:rPr>
              <w:t>各团队将文化建设与教学、科研、服务、管理等核心工作同步部署，实现文化与业务工作深度融合</w:t>
            </w:r>
          </w:p>
        </w:tc>
      </w:tr>
      <w:tr w14:paraId="617F4D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1512" w:type="dxa"/>
            <w:vMerge w:val="continue"/>
            <w:tcBorders>
              <w:tl2br w:val="nil"/>
              <w:tr2bl w:val="nil"/>
            </w:tcBorders>
            <w:shd w:val="clear" w:color="auto" w:fill="auto"/>
            <w:noWrap/>
            <w:vAlign w:val="center"/>
          </w:tcPr>
          <w:p w14:paraId="5814DF42">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bidi="ar"/>
              </w:rPr>
            </w:pPr>
          </w:p>
        </w:tc>
        <w:tc>
          <w:tcPr>
            <w:tcW w:w="1613" w:type="dxa"/>
            <w:vMerge w:val="restart"/>
            <w:tcBorders>
              <w:tl2br w:val="nil"/>
              <w:tr2bl w:val="nil"/>
            </w:tcBorders>
            <w:shd w:val="clear" w:color="auto" w:fill="auto"/>
            <w:noWrap/>
            <w:vAlign w:val="center"/>
          </w:tcPr>
          <w:p w14:paraId="20BC3F3C">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val="en-US" w:eastAsia="zh-CN" w:bidi="ar"/>
              </w:rPr>
            </w:pPr>
            <w:r>
              <w:rPr>
                <w:rFonts w:hint="default" w:ascii="Times New Roman" w:hAnsi="Times New Roman" w:eastAsia="FangSong_GB2312" w:cs="Times New Roman"/>
                <w:color w:val="000000"/>
                <w:kern w:val="0"/>
                <w:szCs w:val="21"/>
                <w:lang w:val="en-US" w:eastAsia="zh-CN" w:bidi="ar"/>
              </w:rPr>
              <w:t>B7.文化实践</w:t>
            </w:r>
          </w:p>
          <w:p w14:paraId="799CFF8B">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val="en-US" w:eastAsia="zh-CN" w:bidi="ar"/>
              </w:rPr>
              <w:t>（2分)</w:t>
            </w:r>
          </w:p>
        </w:tc>
        <w:tc>
          <w:tcPr>
            <w:tcW w:w="10831" w:type="dxa"/>
            <w:tcBorders>
              <w:tl2br w:val="nil"/>
              <w:tr2bl w:val="nil"/>
            </w:tcBorders>
            <w:shd w:val="clear" w:color="auto" w:fill="auto"/>
            <w:vAlign w:val="center"/>
          </w:tcPr>
          <w:p w14:paraId="21F5E6EC">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val="en-US" w:eastAsia="zh-CN" w:bidi="ar"/>
              </w:rPr>
              <w:t>各团队围绕团队文化主题，每学期开展不少于2次活动，增强团队凝聚力</w:t>
            </w:r>
          </w:p>
        </w:tc>
      </w:tr>
      <w:tr w14:paraId="3D5FF9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512" w:type="dxa"/>
            <w:vMerge w:val="continue"/>
            <w:tcBorders>
              <w:tl2br w:val="nil"/>
              <w:tr2bl w:val="nil"/>
            </w:tcBorders>
            <w:shd w:val="clear" w:color="auto" w:fill="auto"/>
            <w:noWrap/>
            <w:vAlign w:val="center"/>
          </w:tcPr>
          <w:p w14:paraId="7F29ACFF">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bidi="ar"/>
              </w:rPr>
            </w:pPr>
          </w:p>
        </w:tc>
        <w:tc>
          <w:tcPr>
            <w:tcW w:w="1613" w:type="dxa"/>
            <w:vMerge w:val="continue"/>
            <w:tcBorders>
              <w:tl2br w:val="nil"/>
              <w:tr2bl w:val="nil"/>
            </w:tcBorders>
            <w:shd w:val="clear" w:color="auto" w:fill="auto"/>
            <w:noWrap/>
            <w:vAlign w:val="center"/>
          </w:tcPr>
          <w:p w14:paraId="57ECEEF4">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bidi="ar"/>
              </w:rPr>
            </w:pPr>
          </w:p>
        </w:tc>
        <w:tc>
          <w:tcPr>
            <w:tcW w:w="10831" w:type="dxa"/>
            <w:tcBorders>
              <w:tl2br w:val="nil"/>
              <w:tr2bl w:val="nil"/>
            </w:tcBorders>
            <w:shd w:val="clear" w:color="auto" w:fill="auto"/>
            <w:vAlign w:val="center"/>
          </w:tcPr>
          <w:p w14:paraId="206A3B9A">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val="en-US" w:eastAsia="zh-CN" w:bidi="ar"/>
              </w:rPr>
              <w:t>搭建团队协同发展平台，与校内外共同体在资源共建、师资培养等方面深度合作，通过虚拟教研室、教研工作坊等形式促进资源共享与能力提升</w:t>
            </w:r>
          </w:p>
        </w:tc>
      </w:tr>
      <w:tr w14:paraId="695E30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1512" w:type="dxa"/>
            <w:vMerge w:val="continue"/>
            <w:tcBorders>
              <w:tl2br w:val="nil"/>
              <w:tr2bl w:val="nil"/>
            </w:tcBorders>
            <w:shd w:val="clear" w:color="auto" w:fill="auto"/>
            <w:noWrap/>
            <w:vAlign w:val="center"/>
          </w:tcPr>
          <w:p w14:paraId="44BDA99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bidi="ar"/>
              </w:rPr>
            </w:pPr>
          </w:p>
        </w:tc>
        <w:tc>
          <w:tcPr>
            <w:tcW w:w="1613" w:type="dxa"/>
            <w:vMerge w:val="restart"/>
            <w:tcBorders>
              <w:tl2br w:val="nil"/>
              <w:tr2bl w:val="nil"/>
            </w:tcBorders>
            <w:shd w:val="clear" w:color="auto" w:fill="auto"/>
            <w:noWrap/>
            <w:vAlign w:val="center"/>
          </w:tcPr>
          <w:p w14:paraId="428B76E0">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val="en-US" w:eastAsia="zh-CN" w:bidi="ar"/>
              </w:rPr>
            </w:pPr>
            <w:r>
              <w:rPr>
                <w:rFonts w:hint="default" w:ascii="Times New Roman" w:hAnsi="Times New Roman" w:eastAsia="FangSong_GB2312" w:cs="Times New Roman"/>
                <w:color w:val="000000"/>
                <w:kern w:val="0"/>
                <w:szCs w:val="21"/>
                <w:lang w:val="en-US" w:eastAsia="zh-CN" w:bidi="ar"/>
              </w:rPr>
              <w:t>B8.文化成果</w:t>
            </w:r>
          </w:p>
          <w:p w14:paraId="4562F0EF">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val="en-US" w:eastAsia="zh-CN" w:bidi="ar"/>
              </w:rPr>
              <w:t>（2分）</w:t>
            </w:r>
          </w:p>
        </w:tc>
        <w:tc>
          <w:tcPr>
            <w:tcW w:w="10831" w:type="dxa"/>
            <w:tcBorders>
              <w:tl2br w:val="nil"/>
              <w:tr2bl w:val="nil"/>
            </w:tcBorders>
            <w:shd w:val="clear" w:color="auto" w:fill="auto"/>
            <w:vAlign w:val="center"/>
          </w:tcPr>
          <w:p w14:paraId="0BF2CFD9">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val="en-US" w:eastAsia="zh-CN" w:bidi="ar"/>
              </w:rPr>
              <w:t>各团队形成具有自身特色的团队文化1个，在团队运行中落实</w:t>
            </w:r>
          </w:p>
        </w:tc>
      </w:tr>
      <w:tr w14:paraId="01C191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1512" w:type="dxa"/>
            <w:vMerge w:val="continue"/>
            <w:tcBorders>
              <w:tl2br w:val="nil"/>
              <w:tr2bl w:val="nil"/>
            </w:tcBorders>
            <w:shd w:val="clear" w:color="auto" w:fill="auto"/>
            <w:noWrap/>
            <w:vAlign w:val="center"/>
          </w:tcPr>
          <w:p w14:paraId="5BBDCB09">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bidi="ar"/>
              </w:rPr>
            </w:pPr>
          </w:p>
        </w:tc>
        <w:tc>
          <w:tcPr>
            <w:tcW w:w="1613" w:type="dxa"/>
            <w:vMerge w:val="continue"/>
            <w:tcBorders>
              <w:tl2br w:val="nil"/>
              <w:tr2bl w:val="nil"/>
            </w:tcBorders>
            <w:shd w:val="clear" w:color="auto" w:fill="auto"/>
            <w:noWrap/>
            <w:vAlign w:val="center"/>
          </w:tcPr>
          <w:p w14:paraId="0DC6AE6F">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bidi="ar"/>
              </w:rPr>
            </w:pPr>
          </w:p>
        </w:tc>
        <w:tc>
          <w:tcPr>
            <w:tcW w:w="10831" w:type="dxa"/>
            <w:tcBorders>
              <w:tl2br w:val="nil"/>
              <w:tr2bl w:val="nil"/>
            </w:tcBorders>
            <w:shd w:val="clear" w:color="auto" w:fill="auto"/>
            <w:vAlign w:val="center"/>
          </w:tcPr>
          <w:p w14:paraId="64EFCB93">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val="en-US" w:eastAsia="zh-CN" w:bidi="ar"/>
              </w:rPr>
              <w:t>形成团队文化建设典型案例不少于3个，体现特色做法与示范引领</w:t>
            </w:r>
          </w:p>
        </w:tc>
      </w:tr>
      <w:tr w14:paraId="6B289A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512" w:type="dxa"/>
            <w:vMerge w:val="restart"/>
            <w:tcBorders>
              <w:tl2br w:val="nil"/>
              <w:tr2bl w:val="nil"/>
            </w:tcBorders>
            <w:shd w:val="clear" w:color="auto" w:fill="auto"/>
            <w:noWrap/>
            <w:vAlign w:val="center"/>
          </w:tcPr>
          <w:p w14:paraId="29A0A59D">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val="en-US" w:eastAsia="zh-CN" w:bidi="ar"/>
              </w:rPr>
              <w:t>A3.团队培育（20分）</w:t>
            </w:r>
          </w:p>
        </w:tc>
        <w:tc>
          <w:tcPr>
            <w:tcW w:w="1613" w:type="dxa"/>
            <w:vMerge w:val="restart"/>
            <w:tcBorders>
              <w:tl2br w:val="nil"/>
              <w:tr2bl w:val="nil"/>
            </w:tcBorders>
            <w:shd w:val="clear" w:color="auto" w:fill="auto"/>
            <w:noWrap/>
            <w:vAlign w:val="center"/>
          </w:tcPr>
          <w:p w14:paraId="774CF6F1">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val="en-US" w:eastAsia="zh-CN" w:bidi="ar"/>
              </w:rPr>
            </w:pPr>
            <w:r>
              <w:rPr>
                <w:rFonts w:hint="default" w:ascii="Times New Roman" w:hAnsi="Times New Roman" w:eastAsia="FangSong_GB2312" w:cs="Times New Roman"/>
                <w:color w:val="000000"/>
                <w:kern w:val="0"/>
                <w:szCs w:val="21"/>
                <w:lang w:val="en-US" w:eastAsia="zh-CN" w:bidi="ar"/>
              </w:rPr>
              <w:t>B9.培育规划</w:t>
            </w:r>
          </w:p>
          <w:p w14:paraId="4489428F">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val="en-US" w:eastAsia="zh-CN" w:bidi="ar"/>
              </w:rPr>
              <w:t>（5分）</w:t>
            </w:r>
          </w:p>
        </w:tc>
        <w:tc>
          <w:tcPr>
            <w:tcW w:w="10831" w:type="dxa"/>
            <w:tcBorders>
              <w:tl2br w:val="nil"/>
              <w:tr2bl w:val="nil"/>
            </w:tcBorders>
            <w:shd w:val="clear" w:color="auto" w:fill="auto"/>
            <w:vAlign w:val="center"/>
          </w:tcPr>
          <w:p w14:paraId="7B1B198B">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val="en-US" w:eastAsia="zh-CN" w:bidi="ar"/>
              </w:rPr>
              <w:t>精准分析不同阶段、不同类型的团队教师专业发展需求，在学校总体建设方案框架指导下形成3个及以上团队详实的实施方案，明确建设目标、任务节点、建设举措和成果形态</w:t>
            </w:r>
          </w:p>
        </w:tc>
      </w:tr>
      <w:tr w14:paraId="1F7E3D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512" w:type="dxa"/>
            <w:vMerge w:val="continue"/>
            <w:tcBorders>
              <w:tl2br w:val="nil"/>
              <w:tr2bl w:val="nil"/>
            </w:tcBorders>
            <w:shd w:val="clear" w:color="auto" w:fill="auto"/>
            <w:noWrap/>
            <w:vAlign w:val="center"/>
          </w:tcPr>
          <w:p w14:paraId="135270D1">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bidi="ar"/>
              </w:rPr>
            </w:pPr>
          </w:p>
        </w:tc>
        <w:tc>
          <w:tcPr>
            <w:tcW w:w="1613" w:type="dxa"/>
            <w:vMerge w:val="continue"/>
            <w:tcBorders>
              <w:tl2br w:val="nil"/>
              <w:tr2bl w:val="nil"/>
            </w:tcBorders>
            <w:shd w:val="clear" w:color="auto" w:fill="auto"/>
            <w:noWrap/>
            <w:vAlign w:val="center"/>
          </w:tcPr>
          <w:p w14:paraId="7CF03A51">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bidi="ar"/>
              </w:rPr>
            </w:pPr>
          </w:p>
        </w:tc>
        <w:tc>
          <w:tcPr>
            <w:tcW w:w="10831" w:type="dxa"/>
            <w:tcBorders>
              <w:tl2br w:val="nil"/>
              <w:tr2bl w:val="nil"/>
            </w:tcBorders>
            <w:shd w:val="clear" w:color="auto" w:fill="auto"/>
            <w:vAlign w:val="center"/>
          </w:tcPr>
          <w:p w14:paraId="3B3C6EDF">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val="en-US" w:eastAsia="zh-CN" w:bidi="ar"/>
              </w:rPr>
              <w:t>各团队按年度细化目标任务、责任分工、实施路径及考核方式，确保举措可操作、可落地、可评估</w:t>
            </w:r>
          </w:p>
        </w:tc>
      </w:tr>
      <w:tr w14:paraId="5BF7F8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512" w:type="dxa"/>
            <w:vMerge w:val="continue"/>
            <w:tcBorders>
              <w:tl2br w:val="nil"/>
              <w:tr2bl w:val="nil"/>
            </w:tcBorders>
            <w:shd w:val="clear" w:color="auto" w:fill="auto"/>
            <w:noWrap/>
            <w:vAlign w:val="center"/>
          </w:tcPr>
          <w:p w14:paraId="0D5189DA">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bidi="ar"/>
              </w:rPr>
            </w:pPr>
          </w:p>
        </w:tc>
        <w:tc>
          <w:tcPr>
            <w:tcW w:w="1613" w:type="dxa"/>
            <w:vMerge w:val="continue"/>
            <w:tcBorders>
              <w:tl2br w:val="nil"/>
              <w:tr2bl w:val="nil"/>
            </w:tcBorders>
            <w:shd w:val="clear" w:color="auto" w:fill="auto"/>
            <w:noWrap/>
            <w:vAlign w:val="center"/>
          </w:tcPr>
          <w:p w14:paraId="264E4588">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bidi="ar"/>
              </w:rPr>
            </w:pPr>
          </w:p>
        </w:tc>
        <w:tc>
          <w:tcPr>
            <w:tcW w:w="10831" w:type="dxa"/>
            <w:tcBorders>
              <w:tl2br w:val="nil"/>
              <w:tr2bl w:val="nil"/>
            </w:tcBorders>
            <w:shd w:val="clear" w:color="auto" w:fill="auto"/>
            <w:vAlign w:val="center"/>
          </w:tcPr>
          <w:p w14:paraId="36D36EB6">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val="en-US" w:eastAsia="zh-CN" w:bidi="ar"/>
              </w:rPr>
              <w:t>组织月度例会，及时共享进展、反馈问题，及时报送当月工作简报</w:t>
            </w:r>
          </w:p>
        </w:tc>
      </w:tr>
      <w:tr w14:paraId="4011C7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512" w:type="dxa"/>
            <w:vMerge w:val="continue"/>
            <w:tcBorders>
              <w:tl2br w:val="nil"/>
              <w:tr2bl w:val="nil"/>
            </w:tcBorders>
            <w:shd w:val="clear" w:color="auto" w:fill="auto"/>
            <w:noWrap/>
            <w:vAlign w:val="center"/>
          </w:tcPr>
          <w:p w14:paraId="7B3F4B5C">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bidi="ar"/>
              </w:rPr>
            </w:pPr>
          </w:p>
        </w:tc>
        <w:tc>
          <w:tcPr>
            <w:tcW w:w="1613" w:type="dxa"/>
            <w:vMerge w:val="restart"/>
            <w:tcBorders>
              <w:tl2br w:val="nil"/>
              <w:tr2bl w:val="nil"/>
            </w:tcBorders>
            <w:shd w:val="clear" w:color="auto" w:fill="auto"/>
            <w:noWrap/>
            <w:vAlign w:val="center"/>
          </w:tcPr>
          <w:p w14:paraId="18627A54">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val="en-US" w:eastAsia="zh-CN" w:bidi="ar"/>
              </w:rPr>
              <w:t>B10.制度机制（5分）</w:t>
            </w:r>
          </w:p>
        </w:tc>
        <w:tc>
          <w:tcPr>
            <w:tcW w:w="10831" w:type="dxa"/>
            <w:tcBorders>
              <w:tl2br w:val="nil"/>
              <w:tr2bl w:val="nil"/>
            </w:tcBorders>
            <w:shd w:val="clear" w:color="auto" w:fill="auto"/>
            <w:vAlign w:val="center"/>
          </w:tcPr>
          <w:p w14:paraId="0C0B1F2E">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val="en-US" w:eastAsia="zh-CN" w:bidi="ar"/>
              </w:rPr>
              <w:t>形成涵盖遴选、培养、考核、激励与成员动态调整的团队成员管理制度1个，团队成员调整比例不得超过30%</w:t>
            </w:r>
          </w:p>
        </w:tc>
      </w:tr>
      <w:tr w14:paraId="46C984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1512" w:type="dxa"/>
            <w:vMerge w:val="continue"/>
            <w:tcBorders>
              <w:tl2br w:val="nil"/>
              <w:tr2bl w:val="nil"/>
            </w:tcBorders>
            <w:shd w:val="clear" w:color="auto" w:fill="auto"/>
            <w:noWrap/>
            <w:vAlign w:val="center"/>
          </w:tcPr>
          <w:p w14:paraId="6CF5B19A">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bidi="ar"/>
              </w:rPr>
            </w:pPr>
          </w:p>
        </w:tc>
        <w:tc>
          <w:tcPr>
            <w:tcW w:w="1613" w:type="dxa"/>
            <w:vMerge w:val="continue"/>
            <w:tcBorders>
              <w:tl2br w:val="nil"/>
              <w:tr2bl w:val="nil"/>
            </w:tcBorders>
            <w:shd w:val="clear" w:color="auto" w:fill="auto"/>
            <w:noWrap/>
            <w:vAlign w:val="center"/>
          </w:tcPr>
          <w:p w14:paraId="207F9E6C">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bidi="ar"/>
              </w:rPr>
            </w:pPr>
          </w:p>
        </w:tc>
        <w:tc>
          <w:tcPr>
            <w:tcW w:w="10831" w:type="dxa"/>
            <w:tcBorders>
              <w:tl2br w:val="nil"/>
              <w:tr2bl w:val="nil"/>
            </w:tcBorders>
            <w:shd w:val="clear" w:color="auto" w:fill="auto"/>
            <w:vAlign w:val="center"/>
          </w:tcPr>
          <w:p w14:paraId="068CAA63">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val="en-US" w:eastAsia="zh-CN" w:bidi="ar"/>
              </w:rPr>
              <w:t>各团队完善岗位职责、工作流程、会议制度与成果认定办法，确保日常运行标准化、流程化</w:t>
            </w:r>
          </w:p>
        </w:tc>
      </w:tr>
      <w:tr w14:paraId="228D3A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512" w:type="dxa"/>
            <w:vMerge w:val="continue"/>
            <w:tcBorders>
              <w:tl2br w:val="nil"/>
              <w:tr2bl w:val="nil"/>
            </w:tcBorders>
            <w:shd w:val="clear" w:color="auto" w:fill="auto"/>
            <w:noWrap/>
            <w:vAlign w:val="center"/>
          </w:tcPr>
          <w:p w14:paraId="0B50B592">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bidi="ar"/>
              </w:rPr>
            </w:pPr>
          </w:p>
        </w:tc>
        <w:tc>
          <w:tcPr>
            <w:tcW w:w="1613" w:type="dxa"/>
            <w:vMerge w:val="continue"/>
            <w:tcBorders>
              <w:tl2br w:val="nil"/>
              <w:tr2bl w:val="nil"/>
            </w:tcBorders>
            <w:shd w:val="clear" w:color="auto" w:fill="auto"/>
            <w:noWrap/>
            <w:vAlign w:val="center"/>
          </w:tcPr>
          <w:p w14:paraId="33054581">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bidi="ar"/>
              </w:rPr>
            </w:pPr>
          </w:p>
        </w:tc>
        <w:tc>
          <w:tcPr>
            <w:tcW w:w="10831" w:type="dxa"/>
            <w:tcBorders>
              <w:tl2br w:val="nil"/>
              <w:tr2bl w:val="nil"/>
            </w:tcBorders>
            <w:shd w:val="clear" w:color="auto" w:fill="auto"/>
            <w:vAlign w:val="center"/>
          </w:tcPr>
          <w:p w14:paraId="28A7E937">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FangSong_GB2312" w:cs="Times New Roman"/>
                <w:color w:val="000000"/>
                <w:kern w:val="0"/>
                <w:szCs w:val="21"/>
                <w:lang w:val="en-US" w:bidi="ar"/>
              </w:rPr>
            </w:pPr>
            <w:r>
              <w:rPr>
                <w:rFonts w:hint="default" w:ascii="Times New Roman" w:hAnsi="Times New Roman" w:eastAsia="FangSong_GB2312" w:cs="Times New Roman"/>
                <w:color w:val="000000"/>
                <w:kern w:val="0"/>
                <w:szCs w:val="21"/>
                <w:lang w:val="en-US" w:eastAsia="zh-CN" w:bidi="ar"/>
              </w:rPr>
              <w:t>定期对制度执行情况开展评估并适时修订，不断健全团队相关制度</w:t>
            </w:r>
          </w:p>
        </w:tc>
      </w:tr>
      <w:tr w14:paraId="431F99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512" w:type="dxa"/>
            <w:vMerge w:val="continue"/>
            <w:tcBorders>
              <w:tl2br w:val="nil"/>
              <w:tr2bl w:val="nil"/>
            </w:tcBorders>
            <w:shd w:val="clear" w:color="auto" w:fill="auto"/>
            <w:noWrap/>
            <w:vAlign w:val="center"/>
          </w:tcPr>
          <w:p w14:paraId="2D3A1338">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bidi="ar"/>
              </w:rPr>
            </w:pPr>
          </w:p>
        </w:tc>
        <w:tc>
          <w:tcPr>
            <w:tcW w:w="1613" w:type="dxa"/>
            <w:vMerge w:val="restart"/>
            <w:tcBorders>
              <w:tl2br w:val="nil"/>
              <w:tr2bl w:val="nil"/>
            </w:tcBorders>
            <w:shd w:val="clear" w:color="auto" w:fill="auto"/>
            <w:noWrap/>
            <w:vAlign w:val="center"/>
          </w:tcPr>
          <w:p w14:paraId="5FE67829">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val="en-US" w:eastAsia="zh-CN" w:bidi="ar"/>
              </w:rPr>
              <w:t>B11.培育过程（6分）</w:t>
            </w:r>
          </w:p>
        </w:tc>
        <w:tc>
          <w:tcPr>
            <w:tcW w:w="10831" w:type="dxa"/>
            <w:tcBorders>
              <w:tl2br w:val="nil"/>
              <w:tr2bl w:val="nil"/>
            </w:tcBorders>
            <w:shd w:val="clear" w:color="auto" w:fill="auto"/>
            <w:vAlign w:val="center"/>
          </w:tcPr>
          <w:p w14:paraId="7EB1757C">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val="en-US" w:eastAsia="zh-CN" w:bidi="ar"/>
              </w:rPr>
              <w:t>各团队每年开展不少于4周的主题研修活动，其中线下集中研修活动不少于2周</w:t>
            </w:r>
          </w:p>
        </w:tc>
      </w:tr>
      <w:tr w14:paraId="7B190D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1512" w:type="dxa"/>
            <w:vMerge w:val="continue"/>
            <w:tcBorders>
              <w:tl2br w:val="nil"/>
              <w:tr2bl w:val="nil"/>
            </w:tcBorders>
            <w:shd w:val="clear" w:color="auto" w:fill="auto"/>
            <w:noWrap/>
            <w:vAlign w:val="center"/>
          </w:tcPr>
          <w:p w14:paraId="690B6A72">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bidi="ar"/>
              </w:rPr>
            </w:pPr>
          </w:p>
        </w:tc>
        <w:tc>
          <w:tcPr>
            <w:tcW w:w="1613" w:type="dxa"/>
            <w:vMerge w:val="continue"/>
            <w:tcBorders>
              <w:tl2br w:val="nil"/>
              <w:tr2bl w:val="nil"/>
            </w:tcBorders>
            <w:shd w:val="clear" w:color="auto" w:fill="auto"/>
            <w:noWrap/>
            <w:vAlign w:val="center"/>
          </w:tcPr>
          <w:p w14:paraId="026AEBC7">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bidi="ar"/>
              </w:rPr>
            </w:pPr>
          </w:p>
        </w:tc>
        <w:tc>
          <w:tcPr>
            <w:tcW w:w="10831" w:type="dxa"/>
            <w:tcBorders>
              <w:tl2br w:val="nil"/>
              <w:tr2bl w:val="nil"/>
            </w:tcBorders>
            <w:shd w:val="clear" w:color="auto" w:fill="auto"/>
            <w:vAlign w:val="center"/>
          </w:tcPr>
          <w:p w14:paraId="45004E95">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FangSong_GB2312" w:cs="Times New Roman"/>
                <w:color w:val="000000"/>
                <w:kern w:val="0"/>
                <w:szCs w:val="21"/>
                <w:lang w:val="en-US" w:bidi="ar"/>
              </w:rPr>
            </w:pPr>
            <w:r>
              <w:rPr>
                <w:rFonts w:hint="default" w:ascii="Times New Roman" w:hAnsi="Times New Roman" w:eastAsia="FangSong_GB2312" w:cs="Times New Roman"/>
                <w:color w:val="000000"/>
                <w:kern w:val="0"/>
                <w:szCs w:val="21"/>
                <w:lang w:val="en-US" w:eastAsia="zh-CN" w:bidi="ar"/>
              </w:rPr>
              <w:t>制定团队个人三年成长规划和年度计划，根据成员需求提供各类资源，精准帮助成员专业发展</w:t>
            </w:r>
          </w:p>
        </w:tc>
      </w:tr>
      <w:tr w14:paraId="4D19B5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512" w:type="dxa"/>
            <w:vMerge w:val="continue"/>
            <w:tcBorders>
              <w:tl2br w:val="nil"/>
              <w:tr2bl w:val="nil"/>
            </w:tcBorders>
            <w:shd w:val="clear" w:color="auto" w:fill="auto"/>
            <w:noWrap/>
            <w:vAlign w:val="center"/>
          </w:tcPr>
          <w:p w14:paraId="35666C4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bidi="ar"/>
              </w:rPr>
            </w:pPr>
          </w:p>
        </w:tc>
        <w:tc>
          <w:tcPr>
            <w:tcW w:w="1613" w:type="dxa"/>
            <w:vMerge w:val="continue"/>
            <w:tcBorders>
              <w:tl2br w:val="nil"/>
              <w:tr2bl w:val="nil"/>
            </w:tcBorders>
            <w:shd w:val="clear" w:color="auto" w:fill="auto"/>
            <w:noWrap/>
            <w:vAlign w:val="center"/>
          </w:tcPr>
          <w:p w14:paraId="0DCDE29A">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bidi="ar"/>
              </w:rPr>
            </w:pPr>
          </w:p>
        </w:tc>
        <w:tc>
          <w:tcPr>
            <w:tcW w:w="10831" w:type="dxa"/>
            <w:tcBorders>
              <w:tl2br w:val="nil"/>
              <w:tr2bl w:val="nil"/>
            </w:tcBorders>
            <w:shd w:val="clear" w:color="auto" w:fill="auto"/>
            <w:vAlign w:val="center"/>
          </w:tcPr>
          <w:p w14:paraId="7D7CAB9E">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val="en-US" w:eastAsia="zh-CN" w:bidi="ar"/>
              </w:rPr>
              <w:t>依托校企、校际或行业联盟开展联合研修、资源共创、成果共享，各团队年度共建活动不少于2次</w:t>
            </w:r>
          </w:p>
        </w:tc>
      </w:tr>
      <w:tr w14:paraId="6065D8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1512" w:type="dxa"/>
            <w:vMerge w:val="continue"/>
            <w:tcBorders>
              <w:tl2br w:val="nil"/>
              <w:tr2bl w:val="nil"/>
            </w:tcBorders>
            <w:shd w:val="clear" w:color="auto" w:fill="auto"/>
            <w:noWrap/>
            <w:vAlign w:val="center"/>
          </w:tcPr>
          <w:p w14:paraId="2195C9F4">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bidi="ar"/>
              </w:rPr>
            </w:pPr>
          </w:p>
        </w:tc>
        <w:tc>
          <w:tcPr>
            <w:tcW w:w="1613" w:type="dxa"/>
            <w:vMerge w:val="restart"/>
            <w:tcBorders>
              <w:tl2br w:val="nil"/>
              <w:tr2bl w:val="nil"/>
            </w:tcBorders>
            <w:shd w:val="clear" w:color="auto" w:fill="auto"/>
            <w:noWrap/>
            <w:vAlign w:val="center"/>
          </w:tcPr>
          <w:p w14:paraId="0EA9CCC8">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val="en-US" w:eastAsia="zh-CN" w:bidi="ar"/>
              </w:rPr>
              <w:t>B12 建设范式（4分）</w:t>
            </w:r>
          </w:p>
        </w:tc>
        <w:tc>
          <w:tcPr>
            <w:tcW w:w="10831" w:type="dxa"/>
            <w:tcBorders>
              <w:tl2br w:val="nil"/>
              <w:tr2bl w:val="nil"/>
            </w:tcBorders>
            <w:shd w:val="clear" w:color="auto" w:fill="auto"/>
            <w:vAlign w:val="center"/>
          </w:tcPr>
          <w:p w14:paraId="3EF57EB7">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val="en-US" w:eastAsia="zh-CN" w:bidi="ar"/>
              </w:rPr>
              <w:t>围绕团队文化、培育模式与教学主张等方面，凝练形成可推广、可复制、有创新的团队建设范式，形成典型案例</w:t>
            </w:r>
          </w:p>
        </w:tc>
      </w:tr>
      <w:tr w14:paraId="22C074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1512" w:type="dxa"/>
            <w:vMerge w:val="continue"/>
            <w:tcBorders>
              <w:tl2br w:val="nil"/>
              <w:tr2bl w:val="nil"/>
            </w:tcBorders>
            <w:shd w:val="clear" w:color="auto" w:fill="auto"/>
            <w:noWrap/>
            <w:vAlign w:val="center"/>
          </w:tcPr>
          <w:p w14:paraId="173A38B8">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bidi="ar"/>
              </w:rPr>
            </w:pPr>
          </w:p>
        </w:tc>
        <w:tc>
          <w:tcPr>
            <w:tcW w:w="1613" w:type="dxa"/>
            <w:vMerge w:val="continue"/>
            <w:tcBorders>
              <w:tl2br w:val="nil"/>
              <w:tr2bl w:val="nil"/>
            </w:tcBorders>
            <w:shd w:val="clear" w:color="auto" w:fill="auto"/>
            <w:noWrap/>
            <w:vAlign w:val="center"/>
          </w:tcPr>
          <w:p w14:paraId="00DD10F3">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bidi="ar"/>
              </w:rPr>
            </w:pPr>
          </w:p>
        </w:tc>
        <w:tc>
          <w:tcPr>
            <w:tcW w:w="10831" w:type="dxa"/>
            <w:tcBorders>
              <w:tl2br w:val="nil"/>
              <w:tr2bl w:val="nil"/>
            </w:tcBorders>
            <w:shd w:val="clear" w:color="auto" w:fill="auto"/>
            <w:vAlign w:val="center"/>
          </w:tcPr>
          <w:p w14:paraId="33641C7C">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val="en-US" w:eastAsia="zh-CN" w:bidi="ar"/>
              </w:rPr>
              <w:t>入选市级及以上教师团队建设典型案例不少于1个</w:t>
            </w:r>
          </w:p>
        </w:tc>
      </w:tr>
      <w:tr w14:paraId="1838AF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512" w:type="dxa"/>
            <w:vMerge w:val="restart"/>
            <w:tcBorders>
              <w:tl2br w:val="nil"/>
              <w:tr2bl w:val="nil"/>
            </w:tcBorders>
            <w:shd w:val="clear" w:color="auto" w:fill="auto"/>
            <w:noWrap/>
            <w:vAlign w:val="center"/>
          </w:tcPr>
          <w:p w14:paraId="5A7530A5">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val="en-US" w:eastAsia="zh-CN" w:bidi="ar"/>
              </w:rPr>
              <w:t>A4.师德师风（25分）</w:t>
            </w:r>
          </w:p>
        </w:tc>
        <w:tc>
          <w:tcPr>
            <w:tcW w:w="1613" w:type="dxa"/>
            <w:vMerge w:val="restart"/>
            <w:tcBorders>
              <w:tl2br w:val="nil"/>
              <w:tr2bl w:val="nil"/>
            </w:tcBorders>
            <w:shd w:val="clear" w:color="auto" w:fill="auto"/>
            <w:noWrap/>
            <w:vAlign w:val="center"/>
          </w:tcPr>
          <w:p w14:paraId="324C4C51">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val="en-US" w:eastAsia="zh-CN" w:bidi="ar"/>
              </w:rPr>
              <w:t>B13.长效机制（7分）</w:t>
            </w:r>
          </w:p>
        </w:tc>
        <w:tc>
          <w:tcPr>
            <w:tcW w:w="10831" w:type="dxa"/>
            <w:tcBorders>
              <w:tl2br w:val="nil"/>
              <w:tr2bl w:val="nil"/>
            </w:tcBorders>
            <w:shd w:val="clear" w:color="auto" w:fill="auto"/>
            <w:noWrap/>
            <w:vAlign w:val="center"/>
          </w:tcPr>
          <w:p w14:paraId="1174164E">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val="en-US" w:eastAsia="zh-CN" w:bidi="ar"/>
              </w:rPr>
              <w:t>建立师德师风长效机制，明确党委统揽、部门协同、资源保障，覆盖全体教职工</w:t>
            </w:r>
          </w:p>
        </w:tc>
      </w:tr>
      <w:tr w14:paraId="0BD13F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1512" w:type="dxa"/>
            <w:vMerge w:val="continue"/>
            <w:tcBorders>
              <w:tl2br w:val="nil"/>
              <w:tr2bl w:val="nil"/>
            </w:tcBorders>
            <w:shd w:val="clear" w:color="auto" w:fill="auto"/>
            <w:noWrap/>
            <w:vAlign w:val="center"/>
          </w:tcPr>
          <w:p w14:paraId="1582DC23">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bidi="ar"/>
              </w:rPr>
            </w:pPr>
          </w:p>
        </w:tc>
        <w:tc>
          <w:tcPr>
            <w:tcW w:w="1613" w:type="dxa"/>
            <w:vMerge w:val="continue"/>
            <w:tcBorders>
              <w:tl2br w:val="nil"/>
              <w:tr2bl w:val="nil"/>
            </w:tcBorders>
            <w:shd w:val="clear" w:color="auto" w:fill="auto"/>
            <w:noWrap/>
            <w:vAlign w:val="center"/>
          </w:tcPr>
          <w:p w14:paraId="086AFB68">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bidi="ar"/>
              </w:rPr>
            </w:pPr>
          </w:p>
        </w:tc>
        <w:tc>
          <w:tcPr>
            <w:tcW w:w="10831" w:type="dxa"/>
            <w:tcBorders>
              <w:tl2br w:val="nil"/>
              <w:tr2bl w:val="nil"/>
            </w:tcBorders>
            <w:shd w:val="clear" w:color="auto" w:fill="auto"/>
            <w:noWrap/>
            <w:vAlign w:val="center"/>
          </w:tcPr>
          <w:p w14:paraId="63795362">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val="en-US" w:eastAsia="zh-CN" w:bidi="ar"/>
              </w:rPr>
              <w:t>构建多元评价体系，综合学生反馈、同行互评、管理测评，师德师风评价结果与职称聘任、绩效分配联动</w:t>
            </w:r>
          </w:p>
        </w:tc>
      </w:tr>
      <w:tr w14:paraId="324DD9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512" w:type="dxa"/>
            <w:vMerge w:val="continue"/>
            <w:tcBorders>
              <w:tl2br w:val="nil"/>
              <w:tr2bl w:val="nil"/>
            </w:tcBorders>
            <w:shd w:val="clear" w:color="auto" w:fill="auto"/>
            <w:noWrap/>
            <w:vAlign w:val="center"/>
          </w:tcPr>
          <w:p w14:paraId="625D26BA">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bidi="ar"/>
              </w:rPr>
            </w:pPr>
          </w:p>
        </w:tc>
        <w:tc>
          <w:tcPr>
            <w:tcW w:w="1613" w:type="dxa"/>
            <w:vMerge w:val="continue"/>
            <w:tcBorders>
              <w:tl2br w:val="nil"/>
              <w:tr2bl w:val="nil"/>
            </w:tcBorders>
            <w:shd w:val="clear" w:color="auto" w:fill="auto"/>
            <w:noWrap/>
            <w:vAlign w:val="center"/>
          </w:tcPr>
          <w:p w14:paraId="08C17F14">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bidi="ar"/>
              </w:rPr>
            </w:pPr>
          </w:p>
        </w:tc>
        <w:tc>
          <w:tcPr>
            <w:tcW w:w="10831" w:type="dxa"/>
            <w:tcBorders>
              <w:tl2br w:val="nil"/>
              <w:tr2bl w:val="nil"/>
            </w:tcBorders>
            <w:shd w:val="clear" w:color="auto" w:fill="auto"/>
            <w:noWrap/>
            <w:vAlign w:val="center"/>
          </w:tcPr>
          <w:p w14:paraId="1FD47287">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val="en-US" w:eastAsia="zh-CN" w:bidi="ar"/>
              </w:rPr>
              <w:t>建立教师师德师风档案袋，对学习记录、育人实践、评价反馈等信息分类留存，为治理决策提供依据</w:t>
            </w:r>
          </w:p>
        </w:tc>
      </w:tr>
      <w:tr w14:paraId="444EFD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512" w:type="dxa"/>
            <w:vMerge w:val="continue"/>
            <w:tcBorders>
              <w:tl2br w:val="nil"/>
              <w:tr2bl w:val="nil"/>
            </w:tcBorders>
            <w:shd w:val="clear" w:color="auto" w:fill="auto"/>
            <w:noWrap/>
            <w:vAlign w:val="center"/>
          </w:tcPr>
          <w:p w14:paraId="7C36FE5C">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bidi="ar"/>
              </w:rPr>
            </w:pPr>
          </w:p>
        </w:tc>
        <w:tc>
          <w:tcPr>
            <w:tcW w:w="1613" w:type="dxa"/>
            <w:vMerge w:val="restart"/>
            <w:tcBorders>
              <w:tl2br w:val="nil"/>
              <w:tr2bl w:val="nil"/>
            </w:tcBorders>
            <w:shd w:val="clear" w:color="auto" w:fill="auto"/>
            <w:noWrap/>
            <w:vAlign w:val="center"/>
          </w:tcPr>
          <w:p w14:paraId="4FE3D27A">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val="en-US" w:eastAsia="zh-CN" w:bidi="ar"/>
              </w:rPr>
              <w:t>B14.精神弘扬（6分）</w:t>
            </w:r>
          </w:p>
        </w:tc>
        <w:tc>
          <w:tcPr>
            <w:tcW w:w="10831" w:type="dxa"/>
            <w:tcBorders>
              <w:tl2br w:val="nil"/>
              <w:tr2bl w:val="nil"/>
            </w:tcBorders>
            <w:shd w:val="clear" w:color="auto" w:fill="auto"/>
            <w:noWrap/>
            <w:vAlign w:val="center"/>
          </w:tcPr>
          <w:p w14:paraId="21FCD4A8">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val="en-US" w:eastAsia="zh-CN" w:bidi="ar"/>
              </w:rPr>
              <w:t>定期组织教师参加主题教育，弘扬与践行教育家精神、工匠精神等，确保理论学习常态化、全员化</w:t>
            </w:r>
          </w:p>
        </w:tc>
      </w:tr>
      <w:tr w14:paraId="403F20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1512" w:type="dxa"/>
            <w:vMerge w:val="continue"/>
            <w:tcBorders>
              <w:tl2br w:val="nil"/>
              <w:tr2bl w:val="nil"/>
            </w:tcBorders>
            <w:shd w:val="clear" w:color="auto" w:fill="auto"/>
            <w:noWrap/>
            <w:vAlign w:val="center"/>
          </w:tcPr>
          <w:p w14:paraId="4089CC33">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bidi="ar"/>
              </w:rPr>
            </w:pPr>
          </w:p>
        </w:tc>
        <w:tc>
          <w:tcPr>
            <w:tcW w:w="1613" w:type="dxa"/>
            <w:vMerge w:val="continue"/>
            <w:tcBorders>
              <w:tl2br w:val="nil"/>
              <w:tr2bl w:val="nil"/>
            </w:tcBorders>
            <w:shd w:val="clear" w:color="auto" w:fill="auto"/>
            <w:noWrap/>
            <w:vAlign w:val="center"/>
          </w:tcPr>
          <w:p w14:paraId="2AAF05D0">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bidi="ar"/>
              </w:rPr>
            </w:pPr>
          </w:p>
        </w:tc>
        <w:tc>
          <w:tcPr>
            <w:tcW w:w="10831" w:type="dxa"/>
            <w:tcBorders>
              <w:tl2br w:val="nil"/>
              <w:tr2bl w:val="nil"/>
            </w:tcBorders>
            <w:shd w:val="clear" w:color="auto" w:fill="auto"/>
            <w:noWrap/>
            <w:vAlign w:val="center"/>
          </w:tcPr>
          <w:p w14:paraId="5F07CCC6">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val="en-US" w:eastAsia="zh-CN" w:bidi="ar"/>
              </w:rPr>
              <w:t>通过榜样示范、文化浸润、表彰奖励等方式选树师德标兵，形成教师自觉践行、相互带动的良好氛围</w:t>
            </w:r>
          </w:p>
        </w:tc>
      </w:tr>
      <w:tr w14:paraId="00CDBB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1512" w:type="dxa"/>
            <w:vMerge w:val="continue"/>
            <w:tcBorders>
              <w:tl2br w:val="nil"/>
              <w:tr2bl w:val="nil"/>
            </w:tcBorders>
            <w:shd w:val="clear" w:color="auto" w:fill="auto"/>
            <w:noWrap/>
            <w:vAlign w:val="center"/>
          </w:tcPr>
          <w:p w14:paraId="1E4DE600">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bidi="ar"/>
              </w:rPr>
            </w:pPr>
          </w:p>
        </w:tc>
        <w:tc>
          <w:tcPr>
            <w:tcW w:w="1613" w:type="dxa"/>
            <w:vMerge w:val="restart"/>
            <w:tcBorders>
              <w:tl2br w:val="nil"/>
              <w:tr2bl w:val="nil"/>
            </w:tcBorders>
            <w:shd w:val="clear" w:color="auto" w:fill="auto"/>
            <w:noWrap/>
            <w:vAlign w:val="center"/>
          </w:tcPr>
          <w:p w14:paraId="22C4AB6B">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val="en-US" w:eastAsia="zh-CN" w:bidi="ar"/>
              </w:rPr>
              <w:t>B15.三全育人（6分）</w:t>
            </w:r>
          </w:p>
        </w:tc>
        <w:tc>
          <w:tcPr>
            <w:tcW w:w="10831" w:type="dxa"/>
            <w:tcBorders>
              <w:tl2br w:val="nil"/>
              <w:tr2bl w:val="nil"/>
            </w:tcBorders>
            <w:shd w:val="clear" w:color="auto" w:fill="auto"/>
            <w:noWrap/>
            <w:vAlign w:val="center"/>
          </w:tcPr>
          <w:p w14:paraId="071CB730">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val="en-US" w:eastAsia="zh-CN" w:bidi="ar"/>
              </w:rPr>
              <w:t>推动育人目标、育人内容与育人方法系统融通，形成全过程协同育人格局</w:t>
            </w:r>
          </w:p>
        </w:tc>
      </w:tr>
      <w:tr w14:paraId="522F64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512" w:type="dxa"/>
            <w:vMerge w:val="continue"/>
            <w:tcBorders>
              <w:tl2br w:val="nil"/>
              <w:tr2bl w:val="nil"/>
            </w:tcBorders>
            <w:shd w:val="clear" w:color="auto" w:fill="auto"/>
            <w:noWrap/>
            <w:vAlign w:val="center"/>
          </w:tcPr>
          <w:p w14:paraId="1883EF82">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bidi="ar"/>
              </w:rPr>
            </w:pPr>
          </w:p>
        </w:tc>
        <w:tc>
          <w:tcPr>
            <w:tcW w:w="1613" w:type="dxa"/>
            <w:vMerge w:val="continue"/>
            <w:tcBorders>
              <w:tl2br w:val="nil"/>
              <w:tr2bl w:val="nil"/>
            </w:tcBorders>
            <w:shd w:val="clear" w:color="auto" w:fill="auto"/>
            <w:noWrap/>
            <w:vAlign w:val="center"/>
          </w:tcPr>
          <w:p w14:paraId="313F3D41">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bidi="ar"/>
              </w:rPr>
            </w:pPr>
          </w:p>
        </w:tc>
        <w:tc>
          <w:tcPr>
            <w:tcW w:w="10831" w:type="dxa"/>
            <w:tcBorders>
              <w:tl2br w:val="nil"/>
              <w:tr2bl w:val="nil"/>
            </w:tcBorders>
            <w:shd w:val="clear" w:color="auto" w:fill="auto"/>
            <w:noWrap/>
            <w:vAlign w:val="center"/>
          </w:tcPr>
          <w:p w14:paraId="5F4A07F7">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val="en-US" w:eastAsia="zh-CN" w:bidi="ar"/>
              </w:rPr>
              <w:t>建立健全落实德技并修、工学结合的全员、全过程、全方位育人机制</w:t>
            </w:r>
          </w:p>
        </w:tc>
      </w:tr>
      <w:tr w14:paraId="01E277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512" w:type="dxa"/>
            <w:vMerge w:val="continue"/>
            <w:tcBorders>
              <w:tl2br w:val="nil"/>
              <w:tr2bl w:val="nil"/>
            </w:tcBorders>
            <w:shd w:val="clear" w:color="auto" w:fill="auto"/>
            <w:noWrap/>
            <w:vAlign w:val="center"/>
          </w:tcPr>
          <w:p w14:paraId="3CB749F5">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bidi="ar"/>
              </w:rPr>
            </w:pPr>
          </w:p>
        </w:tc>
        <w:tc>
          <w:tcPr>
            <w:tcW w:w="1613" w:type="dxa"/>
            <w:vMerge w:val="continue"/>
            <w:tcBorders>
              <w:tl2br w:val="nil"/>
              <w:tr2bl w:val="nil"/>
            </w:tcBorders>
            <w:shd w:val="clear" w:color="auto" w:fill="auto"/>
            <w:noWrap/>
            <w:vAlign w:val="center"/>
          </w:tcPr>
          <w:p w14:paraId="68AD5906">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bidi="ar"/>
              </w:rPr>
            </w:pPr>
          </w:p>
        </w:tc>
        <w:tc>
          <w:tcPr>
            <w:tcW w:w="10831" w:type="dxa"/>
            <w:tcBorders>
              <w:tl2br w:val="nil"/>
              <w:tr2bl w:val="nil"/>
            </w:tcBorders>
            <w:shd w:val="clear" w:color="auto" w:fill="auto"/>
            <w:noWrap/>
            <w:vAlign w:val="center"/>
          </w:tcPr>
          <w:p w14:paraId="26D40674">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val="en-US" w:eastAsia="zh-CN" w:bidi="ar"/>
              </w:rPr>
              <w:t>入选“三全育人”或“大思政”建设等典型案例不少于 1 个，或发表课程思政相关论文不少于2篇</w:t>
            </w:r>
          </w:p>
        </w:tc>
      </w:tr>
      <w:tr w14:paraId="450CE7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1512" w:type="dxa"/>
            <w:vMerge w:val="continue"/>
            <w:tcBorders>
              <w:tl2br w:val="nil"/>
              <w:tr2bl w:val="nil"/>
            </w:tcBorders>
            <w:shd w:val="clear" w:color="auto" w:fill="auto"/>
            <w:noWrap/>
            <w:vAlign w:val="center"/>
          </w:tcPr>
          <w:p w14:paraId="5D7E1D5A">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bidi="ar"/>
              </w:rPr>
            </w:pPr>
          </w:p>
        </w:tc>
        <w:tc>
          <w:tcPr>
            <w:tcW w:w="1613" w:type="dxa"/>
            <w:vMerge w:val="restart"/>
            <w:tcBorders>
              <w:tl2br w:val="nil"/>
              <w:tr2bl w:val="nil"/>
            </w:tcBorders>
            <w:shd w:val="clear" w:color="auto" w:fill="auto"/>
            <w:noWrap/>
            <w:vAlign w:val="center"/>
          </w:tcPr>
          <w:p w14:paraId="1DA54A20">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val="en-US" w:eastAsia="zh-CN" w:bidi="ar"/>
              </w:rPr>
              <w:t>B16.课程思政（6分）</w:t>
            </w:r>
          </w:p>
        </w:tc>
        <w:tc>
          <w:tcPr>
            <w:tcW w:w="10831" w:type="dxa"/>
            <w:tcBorders>
              <w:tl2br w:val="nil"/>
              <w:tr2bl w:val="nil"/>
            </w:tcBorders>
            <w:shd w:val="clear" w:color="auto" w:fill="auto"/>
            <w:noWrap/>
            <w:vAlign w:val="center"/>
          </w:tcPr>
          <w:p w14:paraId="0F1BC115">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val="en-US" w:eastAsia="zh-CN" w:bidi="ar"/>
              </w:rPr>
              <w:t>构建“思政课程”与“课程思政”大格局，思政教育覆盖专业全课程</w:t>
            </w:r>
          </w:p>
        </w:tc>
      </w:tr>
      <w:tr w14:paraId="54D6A1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512" w:type="dxa"/>
            <w:vMerge w:val="continue"/>
            <w:tcBorders>
              <w:tl2br w:val="nil"/>
              <w:tr2bl w:val="nil"/>
            </w:tcBorders>
            <w:shd w:val="clear" w:color="auto" w:fill="auto"/>
            <w:noWrap/>
            <w:vAlign w:val="center"/>
          </w:tcPr>
          <w:p w14:paraId="181ED91C">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bidi="ar"/>
              </w:rPr>
            </w:pPr>
          </w:p>
        </w:tc>
        <w:tc>
          <w:tcPr>
            <w:tcW w:w="1613" w:type="dxa"/>
            <w:vMerge w:val="continue"/>
            <w:tcBorders>
              <w:tl2br w:val="nil"/>
              <w:tr2bl w:val="nil"/>
            </w:tcBorders>
            <w:shd w:val="clear" w:color="auto" w:fill="auto"/>
            <w:noWrap/>
            <w:vAlign w:val="center"/>
          </w:tcPr>
          <w:p w14:paraId="6784EF9D">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bidi="ar"/>
              </w:rPr>
            </w:pPr>
          </w:p>
        </w:tc>
        <w:tc>
          <w:tcPr>
            <w:tcW w:w="10831" w:type="dxa"/>
            <w:tcBorders>
              <w:tl2br w:val="nil"/>
              <w:tr2bl w:val="nil"/>
            </w:tcBorders>
            <w:shd w:val="clear" w:color="auto" w:fill="auto"/>
            <w:noWrap/>
            <w:vAlign w:val="center"/>
          </w:tcPr>
          <w:p w14:paraId="0E03DCE7">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FangSong_GB2312" w:cs="Times New Roman"/>
                <w:color w:val="000000"/>
                <w:kern w:val="0"/>
                <w:szCs w:val="21"/>
                <w:lang w:val="en-US" w:bidi="ar"/>
              </w:rPr>
            </w:pPr>
            <w:r>
              <w:rPr>
                <w:rFonts w:hint="default" w:ascii="Times New Roman" w:hAnsi="Times New Roman" w:eastAsia="FangSong_GB2312" w:cs="Times New Roman"/>
                <w:color w:val="000000"/>
                <w:kern w:val="0"/>
                <w:szCs w:val="21"/>
                <w:lang w:val="en-US" w:eastAsia="zh-CN" w:bidi="ar"/>
              </w:rPr>
              <w:t>建成课程思政资源库，团队成员每人形成2课时的优质教学资源（包括教学设计、课件、微课及课堂实录）</w:t>
            </w:r>
          </w:p>
        </w:tc>
      </w:tr>
      <w:tr w14:paraId="122A2D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1512" w:type="dxa"/>
            <w:vMerge w:val="continue"/>
            <w:tcBorders>
              <w:tl2br w:val="nil"/>
              <w:tr2bl w:val="nil"/>
            </w:tcBorders>
            <w:shd w:val="clear" w:color="auto" w:fill="auto"/>
            <w:noWrap/>
            <w:vAlign w:val="center"/>
          </w:tcPr>
          <w:p w14:paraId="4EFABFB4">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bidi="ar"/>
              </w:rPr>
            </w:pPr>
          </w:p>
        </w:tc>
        <w:tc>
          <w:tcPr>
            <w:tcW w:w="1613" w:type="dxa"/>
            <w:vMerge w:val="continue"/>
            <w:tcBorders>
              <w:tl2br w:val="nil"/>
              <w:tr2bl w:val="nil"/>
            </w:tcBorders>
            <w:shd w:val="clear" w:color="auto" w:fill="auto"/>
            <w:noWrap/>
            <w:vAlign w:val="center"/>
          </w:tcPr>
          <w:p w14:paraId="4E62BD76">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bidi="ar"/>
              </w:rPr>
            </w:pPr>
          </w:p>
        </w:tc>
        <w:tc>
          <w:tcPr>
            <w:tcW w:w="10831" w:type="dxa"/>
            <w:tcBorders>
              <w:tl2br w:val="nil"/>
              <w:tr2bl w:val="nil"/>
            </w:tcBorders>
            <w:shd w:val="clear" w:color="auto" w:fill="auto"/>
            <w:noWrap/>
            <w:vAlign w:val="center"/>
          </w:tcPr>
          <w:p w14:paraId="4BBC6B33">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val="en-US" w:eastAsia="zh-CN" w:bidi="ar"/>
              </w:rPr>
              <w:t>建成市级及以上课程思政示范团队或名班主任工作室不少于 1 个</w:t>
            </w:r>
          </w:p>
        </w:tc>
      </w:tr>
      <w:tr w14:paraId="4B8CD3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1512" w:type="dxa"/>
            <w:vMerge w:val="restart"/>
            <w:tcBorders>
              <w:tl2br w:val="nil"/>
              <w:tr2bl w:val="nil"/>
            </w:tcBorders>
            <w:shd w:val="clear" w:color="auto" w:fill="auto"/>
            <w:noWrap/>
            <w:vAlign w:val="center"/>
          </w:tcPr>
          <w:p w14:paraId="022B51DA">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val="en-US" w:eastAsia="zh-CN" w:bidi="ar"/>
              </w:rPr>
              <w:t>A5.课程建设（25分）</w:t>
            </w:r>
          </w:p>
        </w:tc>
        <w:tc>
          <w:tcPr>
            <w:tcW w:w="1613" w:type="dxa"/>
            <w:vMerge w:val="restart"/>
            <w:tcBorders>
              <w:tl2br w:val="nil"/>
              <w:tr2bl w:val="nil"/>
            </w:tcBorders>
            <w:shd w:val="clear" w:color="auto" w:fill="auto"/>
            <w:noWrap/>
            <w:vAlign w:val="center"/>
          </w:tcPr>
          <w:p w14:paraId="13A48993">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val="en-US" w:eastAsia="zh-CN" w:bidi="ar"/>
              </w:rPr>
              <w:t>B17.规划设计（6分）</w:t>
            </w:r>
          </w:p>
        </w:tc>
        <w:tc>
          <w:tcPr>
            <w:tcW w:w="10831" w:type="dxa"/>
            <w:tcBorders>
              <w:tl2br w:val="nil"/>
              <w:tr2bl w:val="nil"/>
            </w:tcBorders>
            <w:shd w:val="clear" w:color="auto" w:fill="auto"/>
            <w:noWrap/>
            <w:vAlign w:val="center"/>
          </w:tcPr>
          <w:p w14:paraId="4AD858D1">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val="en-US" w:eastAsia="zh-CN" w:bidi="ar"/>
              </w:rPr>
              <w:t>落实国家和地方的教学标准，确保专业人才培养方案与课程标准同步迭代、协同实施</w:t>
            </w:r>
          </w:p>
        </w:tc>
      </w:tr>
      <w:tr w14:paraId="514C61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512" w:type="dxa"/>
            <w:vMerge w:val="continue"/>
            <w:tcBorders>
              <w:tl2br w:val="nil"/>
              <w:tr2bl w:val="nil"/>
            </w:tcBorders>
            <w:shd w:val="clear" w:color="auto" w:fill="auto"/>
            <w:noWrap/>
            <w:vAlign w:val="center"/>
          </w:tcPr>
          <w:p w14:paraId="794DBA79">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bidi="ar"/>
              </w:rPr>
            </w:pPr>
          </w:p>
        </w:tc>
        <w:tc>
          <w:tcPr>
            <w:tcW w:w="1613" w:type="dxa"/>
            <w:vMerge w:val="continue"/>
            <w:tcBorders>
              <w:tl2br w:val="nil"/>
              <w:tr2bl w:val="nil"/>
            </w:tcBorders>
            <w:shd w:val="clear" w:color="auto" w:fill="auto"/>
            <w:noWrap/>
            <w:vAlign w:val="center"/>
          </w:tcPr>
          <w:p w14:paraId="4F8EF0DB">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bidi="ar"/>
              </w:rPr>
            </w:pPr>
          </w:p>
        </w:tc>
        <w:tc>
          <w:tcPr>
            <w:tcW w:w="10831" w:type="dxa"/>
            <w:tcBorders>
              <w:tl2br w:val="nil"/>
              <w:tr2bl w:val="nil"/>
            </w:tcBorders>
            <w:shd w:val="clear" w:color="auto" w:fill="auto"/>
            <w:noWrap/>
            <w:vAlign w:val="center"/>
          </w:tcPr>
          <w:p w14:paraId="7BD08EDD">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FangSong_GB2312" w:cs="Times New Roman"/>
                <w:color w:val="000000"/>
                <w:kern w:val="0"/>
                <w:szCs w:val="21"/>
                <w:lang w:val="en-US" w:bidi="ar"/>
              </w:rPr>
            </w:pPr>
            <w:r>
              <w:rPr>
                <w:rFonts w:hint="default" w:ascii="Times New Roman" w:hAnsi="Times New Roman" w:eastAsia="FangSong_GB2312" w:cs="Times New Roman"/>
                <w:color w:val="000000"/>
                <w:kern w:val="0"/>
                <w:szCs w:val="21"/>
                <w:lang w:val="en-US" w:eastAsia="zh-CN" w:bidi="ar"/>
              </w:rPr>
              <w:t>校企研等主体共同参与专业人才培养方案编制，动态修订人才培养方案，每3年修订1次</w:t>
            </w:r>
          </w:p>
        </w:tc>
      </w:tr>
      <w:tr w14:paraId="03DED7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1512" w:type="dxa"/>
            <w:vMerge w:val="continue"/>
            <w:tcBorders>
              <w:tl2br w:val="nil"/>
              <w:tr2bl w:val="nil"/>
            </w:tcBorders>
            <w:shd w:val="clear" w:color="auto" w:fill="auto"/>
            <w:noWrap/>
            <w:vAlign w:val="center"/>
          </w:tcPr>
          <w:p w14:paraId="21FABEC9">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bidi="ar"/>
              </w:rPr>
            </w:pPr>
          </w:p>
        </w:tc>
        <w:tc>
          <w:tcPr>
            <w:tcW w:w="1613" w:type="dxa"/>
            <w:vMerge w:val="continue"/>
            <w:tcBorders>
              <w:tl2br w:val="nil"/>
              <w:tr2bl w:val="nil"/>
            </w:tcBorders>
            <w:shd w:val="clear" w:color="auto" w:fill="auto"/>
            <w:noWrap/>
            <w:vAlign w:val="center"/>
          </w:tcPr>
          <w:p w14:paraId="6D035C98">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bidi="ar"/>
              </w:rPr>
            </w:pPr>
          </w:p>
        </w:tc>
        <w:tc>
          <w:tcPr>
            <w:tcW w:w="10831" w:type="dxa"/>
            <w:tcBorders>
              <w:tl2br w:val="nil"/>
              <w:tr2bl w:val="nil"/>
            </w:tcBorders>
            <w:shd w:val="clear" w:color="auto" w:fill="auto"/>
            <w:noWrap/>
            <w:vAlign w:val="center"/>
          </w:tcPr>
          <w:p w14:paraId="696785A2">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FangSong_GB2312" w:cs="Times New Roman"/>
                <w:color w:val="000000"/>
                <w:kern w:val="0"/>
                <w:szCs w:val="21"/>
                <w:lang w:val="en-US" w:bidi="ar"/>
              </w:rPr>
            </w:pPr>
            <w:r>
              <w:rPr>
                <w:rFonts w:hint="default" w:ascii="Times New Roman" w:hAnsi="Times New Roman" w:eastAsia="FangSong_GB2312" w:cs="Times New Roman"/>
                <w:color w:val="000000"/>
                <w:kern w:val="0"/>
                <w:szCs w:val="21"/>
                <w:lang w:val="en-US" w:eastAsia="zh-CN" w:bidi="ar"/>
              </w:rPr>
              <w:t>每学期开展教学改革、教材建设、课堂教学等专题培训，系统提升教师课程建设能力</w:t>
            </w:r>
          </w:p>
        </w:tc>
      </w:tr>
      <w:tr w14:paraId="676266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1512" w:type="dxa"/>
            <w:vMerge w:val="continue"/>
            <w:tcBorders>
              <w:tl2br w:val="nil"/>
              <w:tr2bl w:val="nil"/>
            </w:tcBorders>
            <w:shd w:val="clear" w:color="auto" w:fill="auto"/>
            <w:noWrap/>
            <w:vAlign w:val="center"/>
          </w:tcPr>
          <w:p w14:paraId="2E3E1745">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bidi="ar"/>
              </w:rPr>
            </w:pPr>
          </w:p>
        </w:tc>
        <w:tc>
          <w:tcPr>
            <w:tcW w:w="1613" w:type="dxa"/>
            <w:vMerge w:val="continue"/>
            <w:tcBorders>
              <w:tl2br w:val="nil"/>
              <w:tr2bl w:val="nil"/>
            </w:tcBorders>
            <w:shd w:val="clear" w:color="auto" w:fill="auto"/>
            <w:noWrap/>
            <w:vAlign w:val="center"/>
          </w:tcPr>
          <w:p w14:paraId="0AD17F78">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bidi="ar"/>
              </w:rPr>
            </w:pPr>
          </w:p>
        </w:tc>
        <w:tc>
          <w:tcPr>
            <w:tcW w:w="10831" w:type="dxa"/>
            <w:tcBorders>
              <w:tl2br w:val="nil"/>
              <w:tr2bl w:val="nil"/>
            </w:tcBorders>
            <w:shd w:val="clear" w:color="auto" w:fill="auto"/>
            <w:noWrap/>
            <w:vAlign w:val="center"/>
          </w:tcPr>
          <w:p w14:paraId="36BDAA05">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val="en-US" w:eastAsia="zh-CN" w:bidi="ar"/>
              </w:rPr>
              <w:t>各团队形成高质量的专业人才培养方案和核心课程标准1套</w:t>
            </w:r>
          </w:p>
        </w:tc>
      </w:tr>
      <w:tr w14:paraId="216525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1512" w:type="dxa"/>
            <w:vMerge w:val="continue"/>
            <w:tcBorders>
              <w:tl2br w:val="nil"/>
              <w:tr2bl w:val="nil"/>
            </w:tcBorders>
            <w:shd w:val="clear" w:color="auto" w:fill="auto"/>
            <w:noWrap/>
            <w:vAlign w:val="center"/>
          </w:tcPr>
          <w:p w14:paraId="0A46A5F8">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bidi="ar"/>
              </w:rPr>
            </w:pPr>
          </w:p>
        </w:tc>
        <w:tc>
          <w:tcPr>
            <w:tcW w:w="1613" w:type="dxa"/>
            <w:vMerge w:val="restart"/>
            <w:tcBorders>
              <w:tl2br w:val="nil"/>
              <w:tr2bl w:val="nil"/>
            </w:tcBorders>
            <w:shd w:val="clear" w:color="auto" w:fill="auto"/>
            <w:noWrap/>
            <w:vAlign w:val="center"/>
          </w:tcPr>
          <w:p w14:paraId="650BB49F">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val="en-US" w:eastAsia="zh-CN" w:bidi="ar"/>
              </w:rPr>
              <w:t>B18.课程开发（6分）</w:t>
            </w:r>
          </w:p>
        </w:tc>
        <w:tc>
          <w:tcPr>
            <w:tcW w:w="10831" w:type="dxa"/>
            <w:tcBorders>
              <w:tl2br w:val="nil"/>
              <w:tr2bl w:val="nil"/>
            </w:tcBorders>
            <w:shd w:val="clear" w:color="auto" w:fill="auto"/>
            <w:noWrap/>
            <w:vAlign w:val="center"/>
          </w:tcPr>
          <w:p w14:paraId="6F88C361">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FangSong_GB2312" w:cs="Times New Roman"/>
                <w:color w:val="000000"/>
                <w:kern w:val="0"/>
                <w:szCs w:val="21"/>
                <w:lang w:val="en-US" w:bidi="ar"/>
              </w:rPr>
            </w:pPr>
            <w:r>
              <w:rPr>
                <w:rFonts w:hint="default" w:ascii="Times New Roman" w:hAnsi="Times New Roman" w:eastAsia="FangSong_GB2312" w:cs="Times New Roman"/>
                <w:color w:val="000000"/>
                <w:kern w:val="0"/>
                <w:szCs w:val="21"/>
                <w:lang w:val="en-US" w:eastAsia="zh-CN" w:bidi="ar"/>
              </w:rPr>
              <w:t>开展模块化课程改革，构建突出工作过程导向，面向真实情境、能力导向的模块化课程体系</w:t>
            </w:r>
          </w:p>
        </w:tc>
      </w:tr>
      <w:tr w14:paraId="6A252A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1512" w:type="dxa"/>
            <w:vMerge w:val="continue"/>
            <w:tcBorders>
              <w:tl2br w:val="nil"/>
              <w:tr2bl w:val="nil"/>
            </w:tcBorders>
            <w:shd w:val="clear" w:color="auto" w:fill="auto"/>
            <w:noWrap/>
            <w:vAlign w:val="center"/>
          </w:tcPr>
          <w:p w14:paraId="5299EE17">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bidi="ar"/>
              </w:rPr>
            </w:pPr>
          </w:p>
        </w:tc>
        <w:tc>
          <w:tcPr>
            <w:tcW w:w="1613" w:type="dxa"/>
            <w:vMerge w:val="continue"/>
            <w:tcBorders>
              <w:tl2br w:val="nil"/>
              <w:tr2bl w:val="nil"/>
            </w:tcBorders>
            <w:shd w:val="clear" w:color="auto" w:fill="auto"/>
            <w:noWrap/>
            <w:vAlign w:val="center"/>
          </w:tcPr>
          <w:p w14:paraId="6C78C6C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bidi="ar"/>
              </w:rPr>
            </w:pPr>
          </w:p>
        </w:tc>
        <w:tc>
          <w:tcPr>
            <w:tcW w:w="10831" w:type="dxa"/>
            <w:tcBorders>
              <w:tl2br w:val="nil"/>
              <w:tr2bl w:val="nil"/>
            </w:tcBorders>
            <w:shd w:val="clear" w:color="auto" w:fill="auto"/>
            <w:noWrap/>
            <w:vAlign w:val="center"/>
          </w:tcPr>
          <w:p w14:paraId="25FF7A2E">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val="en-US" w:eastAsia="zh-CN" w:bidi="ar"/>
              </w:rPr>
              <w:t>开发具备示范引领作用的模块化课程不少于2门</w:t>
            </w:r>
          </w:p>
        </w:tc>
      </w:tr>
      <w:tr w14:paraId="758BC4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512" w:type="dxa"/>
            <w:vMerge w:val="continue"/>
            <w:tcBorders>
              <w:tl2br w:val="nil"/>
              <w:tr2bl w:val="nil"/>
            </w:tcBorders>
            <w:shd w:val="clear" w:color="auto" w:fill="auto"/>
            <w:noWrap/>
            <w:vAlign w:val="center"/>
          </w:tcPr>
          <w:p w14:paraId="6315F7C3">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bidi="ar"/>
              </w:rPr>
            </w:pPr>
          </w:p>
        </w:tc>
        <w:tc>
          <w:tcPr>
            <w:tcW w:w="1613" w:type="dxa"/>
            <w:vMerge w:val="continue"/>
            <w:tcBorders>
              <w:tl2br w:val="nil"/>
              <w:tr2bl w:val="nil"/>
            </w:tcBorders>
            <w:shd w:val="clear" w:color="auto" w:fill="auto"/>
            <w:noWrap/>
            <w:vAlign w:val="center"/>
          </w:tcPr>
          <w:p w14:paraId="1D4691BF">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bidi="ar"/>
              </w:rPr>
            </w:pPr>
          </w:p>
        </w:tc>
        <w:tc>
          <w:tcPr>
            <w:tcW w:w="10831" w:type="dxa"/>
            <w:tcBorders>
              <w:tl2br w:val="nil"/>
              <w:tr2bl w:val="nil"/>
            </w:tcBorders>
            <w:shd w:val="clear" w:color="auto" w:fill="auto"/>
            <w:noWrap/>
            <w:vAlign w:val="center"/>
          </w:tcPr>
          <w:p w14:paraId="0E0D90C2">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val="en-US" w:eastAsia="zh-CN" w:bidi="ar"/>
              </w:rPr>
              <w:t>入选1-2门市级及以上在线精品课程或优质课程</w:t>
            </w:r>
          </w:p>
        </w:tc>
      </w:tr>
      <w:tr w14:paraId="5D34FC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1512" w:type="dxa"/>
            <w:vMerge w:val="continue"/>
            <w:tcBorders>
              <w:tl2br w:val="nil"/>
              <w:tr2bl w:val="nil"/>
            </w:tcBorders>
            <w:shd w:val="clear" w:color="auto" w:fill="auto"/>
            <w:noWrap/>
            <w:vAlign w:val="center"/>
          </w:tcPr>
          <w:p w14:paraId="70A19578">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bidi="ar"/>
              </w:rPr>
            </w:pPr>
          </w:p>
        </w:tc>
        <w:tc>
          <w:tcPr>
            <w:tcW w:w="1613" w:type="dxa"/>
            <w:vMerge w:val="restart"/>
            <w:tcBorders>
              <w:tl2br w:val="nil"/>
              <w:tr2bl w:val="nil"/>
            </w:tcBorders>
            <w:shd w:val="clear" w:color="auto" w:fill="auto"/>
            <w:noWrap/>
            <w:vAlign w:val="center"/>
          </w:tcPr>
          <w:p w14:paraId="3889FCBC">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val="en-US" w:eastAsia="zh-CN" w:bidi="ar"/>
              </w:rPr>
              <w:t>B19.教材建设（6分）</w:t>
            </w:r>
          </w:p>
        </w:tc>
        <w:tc>
          <w:tcPr>
            <w:tcW w:w="10831" w:type="dxa"/>
            <w:tcBorders>
              <w:tl2br w:val="nil"/>
              <w:tr2bl w:val="nil"/>
            </w:tcBorders>
            <w:shd w:val="clear" w:color="auto" w:fill="auto"/>
            <w:noWrap/>
            <w:vAlign w:val="center"/>
          </w:tcPr>
          <w:p w14:paraId="50B7D03D">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val="en-US" w:eastAsia="zh-CN" w:bidi="ar"/>
              </w:rPr>
              <w:t>构建与课程标准同步、中高职一体化的新形态教材体系，内容紧扣产业技术更新与职业能力要求</w:t>
            </w:r>
          </w:p>
        </w:tc>
      </w:tr>
      <w:tr w14:paraId="176F03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512" w:type="dxa"/>
            <w:vMerge w:val="continue"/>
            <w:tcBorders>
              <w:tl2br w:val="nil"/>
              <w:tr2bl w:val="nil"/>
            </w:tcBorders>
            <w:shd w:val="clear" w:color="auto" w:fill="auto"/>
            <w:noWrap/>
            <w:vAlign w:val="center"/>
          </w:tcPr>
          <w:p w14:paraId="3F87D6B9">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bidi="ar"/>
              </w:rPr>
            </w:pPr>
          </w:p>
        </w:tc>
        <w:tc>
          <w:tcPr>
            <w:tcW w:w="1613" w:type="dxa"/>
            <w:vMerge w:val="continue"/>
            <w:tcBorders>
              <w:tl2br w:val="nil"/>
              <w:tr2bl w:val="nil"/>
            </w:tcBorders>
            <w:shd w:val="clear" w:color="auto" w:fill="auto"/>
            <w:noWrap/>
            <w:vAlign w:val="center"/>
          </w:tcPr>
          <w:p w14:paraId="5C074AE5">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bidi="ar"/>
              </w:rPr>
            </w:pPr>
          </w:p>
        </w:tc>
        <w:tc>
          <w:tcPr>
            <w:tcW w:w="10831" w:type="dxa"/>
            <w:tcBorders>
              <w:tl2br w:val="nil"/>
              <w:tr2bl w:val="nil"/>
            </w:tcBorders>
            <w:shd w:val="clear" w:color="auto" w:fill="auto"/>
            <w:noWrap/>
            <w:vAlign w:val="center"/>
          </w:tcPr>
          <w:p w14:paraId="524A022C">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FangSong_GB2312" w:cs="Times New Roman"/>
                <w:color w:val="000000"/>
                <w:kern w:val="0"/>
                <w:szCs w:val="21"/>
                <w:lang w:val="en-US" w:bidi="ar"/>
              </w:rPr>
            </w:pPr>
            <w:r>
              <w:rPr>
                <w:rFonts w:hint="default" w:ascii="Times New Roman" w:hAnsi="Times New Roman" w:eastAsia="FangSong_GB2312" w:cs="Times New Roman"/>
                <w:color w:val="000000"/>
                <w:kern w:val="0"/>
                <w:szCs w:val="21"/>
                <w:lang w:val="en-US" w:eastAsia="zh-CN" w:bidi="ar"/>
              </w:rPr>
              <w:t>校企研多方协同，定期修订教材，确保教材实践性和前瞻性，积极开发数字教材</w:t>
            </w:r>
          </w:p>
        </w:tc>
      </w:tr>
      <w:tr w14:paraId="1DB86D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512" w:type="dxa"/>
            <w:vMerge w:val="continue"/>
            <w:tcBorders>
              <w:tl2br w:val="nil"/>
              <w:tr2bl w:val="nil"/>
            </w:tcBorders>
            <w:shd w:val="clear" w:color="auto" w:fill="auto"/>
            <w:noWrap/>
            <w:vAlign w:val="center"/>
          </w:tcPr>
          <w:p w14:paraId="137564F0">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bidi="ar"/>
              </w:rPr>
            </w:pPr>
          </w:p>
        </w:tc>
        <w:tc>
          <w:tcPr>
            <w:tcW w:w="1613" w:type="dxa"/>
            <w:vMerge w:val="continue"/>
            <w:tcBorders>
              <w:tl2br w:val="nil"/>
              <w:tr2bl w:val="nil"/>
            </w:tcBorders>
            <w:shd w:val="clear" w:color="auto" w:fill="auto"/>
            <w:noWrap/>
            <w:vAlign w:val="center"/>
          </w:tcPr>
          <w:p w14:paraId="3CEC51DC">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bidi="ar"/>
              </w:rPr>
            </w:pPr>
          </w:p>
        </w:tc>
        <w:tc>
          <w:tcPr>
            <w:tcW w:w="10831" w:type="dxa"/>
            <w:tcBorders>
              <w:tl2br w:val="nil"/>
              <w:tr2bl w:val="nil"/>
            </w:tcBorders>
            <w:shd w:val="clear" w:color="auto" w:fill="auto"/>
            <w:noWrap/>
            <w:vAlign w:val="center"/>
          </w:tcPr>
          <w:p w14:paraId="68503C75">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val="en-US" w:eastAsia="zh-CN" w:bidi="ar"/>
              </w:rPr>
              <w:t>主编市级及以上规划教材2本或公开出版教材4本以上</w:t>
            </w:r>
          </w:p>
        </w:tc>
      </w:tr>
      <w:tr w14:paraId="2DA145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512" w:type="dxa"/>
            <w:vMerge w:val="continue"/>
            <w:tcBorders>
              <w:tl2br w:val="nil"/>
              <w:tr2bl w:val="nil"/>
            </w:tcBorders>
            <w:shd w:val="clear" w:color="auto" w:fill="auto"/>
            <w:noWrap/>
            <w:vAlign w:val="center"/>
          </w:tcPr>
          <w:p w14:paraId="4D87A9D5">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bidi="ar"/>
              </w:rPr>
            </w:pPr>
          </w:p>
        </w:tc>
        <w:tc>
          <w:tcPr>
            <w:tcW w:w="1613" w:type="dxa"/>
            <w:vMerge w:val="restart"/>
            <w:tcBorders>
              <w:tl2br w:val="nil"/>
              <w:tr2bl w:val="nil"/>
            </w:tcBorders>
            <w:shd w:val="clear" w:color="auto" w:fill="auto"/>
            <w:noWrap/>
            <w:vAlign w:val="center"/>
          </w:tcPr>
          <w:p w14:paraId="7539D2A1">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val="en-US" w:eastAsia="zh-CN" w:bidi="ar"/>
              </w:rPr>
              <w:t>B20.平台资源（7分）</w:t>
            </w:r>
          </w:p>
        </w:tc>
        <w:tc>
          <w:tcPr>
            <w:tcW w:w="10831" w:type="dxa"/>
            <w:tcBorders>
              <w:tl2br w:val="nil"/>
              <w:tr2bl w:val="nil"/>
            </w:tcBorders>
            <w:shd w:val="clear" w:color="auto" w:fill="auto"/>
            <w:noWrap/>
            <w:vAlign w:val="center"/>
          </w:tcPr>
          <w:p w14:paraId="60841FE9">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val="en-US" w:eastAsia="zh-CN" w:bidi="ar"/>
              </w:rPr>
              <w:t>建设开放共享的教学资源库与虚实一体实训平台。</w:t>
            </w:r>
          </w:p>
        </w:tc>
      </w:tr>
      <w:tr w14:paraId="044AAC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1512" w:type="dxa"/>
            <w:vMerge w:val="continue"/>
            <w:tcBorders>
              <w:tl2br w:val="nil"/>
              <w:tr2bl w:val="nil"/>
            </w:tcBorders>
            <w:shd w:val="clear" w:color="auto" w:fill="auto"/>
            <w:noWrap/>
            <w:vAlign w:val="center"/>
          </w:tcPr>
          <w:p w14:paraId="1E93DD6C">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bidi="ar"/>
              </w:rPr>
            </w:pPr>
          </w:p>
        </w:tc>
        <w:tc>
          <w:tcPr>
            <w:tcW w:w="1613" w:type="dxa"/>
            <w:vMerge w:val="continue"/>
            <w:tcBorders>
              <w:tl2br w:val="nil"/>
              <w:tr2bl w:val="nil"/>
            </w:tcBorders>
            <w:shd w:val="clear" w:color="auto" w:fill="auto"/>
            <w:noWrap/>
            <w:vAlign w:val="center"/>
          </w:tcPr>
          <w:p w14:paraId="5E9ECE4D">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bidi="ar"/>
              </w:rPr>
            </w:pPr>
          </w:p>
        </w:tc>
        <w:tc>
          <w:tcPr>
            <w:tcW w:w="10831" w:type="dxa"/>
            <w:tcBorders>
              <w:tl2br w:val="nil"/>
              <w:tr2bl w:val="nil"/>
            </w:tcBorders>
            <w:shd w:val="clear" w:color="auto" w:fill="auto"/>
            <w:noWrap/>
            <w:vAlign w:val="center"/>
          </w:tcPr>
          <w:p w14:paraId="6B5C49BC">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val="en-US" w:eastAsia="zh-CN" w:bidi="ar"/>
              </w:rPr>
              <w:t>建成市级及以上资源库或虚拟仿真实训基地1个</w:t>
            </w:r>
          </w:p>
        </w:tc>
      </w:tr>
      <w:tr w14:paraId="6777E1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512" w:type="dxa"/>
            <w:vMerge w:val="restart"/>
            <w:tcBorders>
              <w:tl2br w:val="nil"/>
              <w:tr2bl w:val="nil"/>
            </w:tcBorders>
            <w:shd w:val="clear" w:color="auto" w:fill="auto"/>
            <w:noWrap/>
            <w:vAlign w:val="center"/>
          </w:tcPr>
          <w:p w14:paraId="60F63593">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val="en-US" w:eastAsia="zh-CN" w:bidi="ar"/>
              </w:rPr>
              <w:t>A6.教改科研（25分）</w:t>
            </w:r>
          </w:p>
        </w:tc>
        <w:tc>
          <w:tcPr>
            <w:tcW w:w="1613" w:type="dxa"/>
            <w:vMerge w:val="restart"/>
            <w:tcBorders>
              <w:tl2br w:val="nil"/>
              <w:tr2bl w:val="nil"/>
            </w:tcBorders>
            <w:shd w:val="clear" w:color="auto" w:fill="auto"/>
            <w:noWrap/>
            <w:vAlign w:val="center"/>
          </w:tcPr>
          <w:p w14:paraId="125AF154">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val="en-US" w:eastAsia="zh-CN" w:bidi="ar"/>
              </w:rPr>
              <w:t>B21.研修提升（7分）</w:t>
            </w:r>
          </w:p>
        </w:tc>
        <w:tc>
          <w:tcPr>
            <w:tcW w:w="10831" w:type="dxa"/>
            <w:tcBorders>
              <w:tl2br w:val="nil"/>
              <w:tr2bl w:val="nil"/>
            </w:tcBorders>
            <w:shd w:val="clear" w:color="auto" w:fill="auto"/>
            <w:vAlign w:val="center"/>
          </w:tcPr>
          <w:p w14:paraId="504CEDD2">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val="en-US" w:eastAsia="zh-CN" w:bidi="ar"/>
              </w:rPr>
              <w:t>构建团队常态化学习研修体系，持续更新教师教育理念、教学方式与研究方法</w:t>
            </w:r>
          </w:p>
        </w:tc>
      </w:tr>
      <w:tr w14:paraId="0ECA4A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1512" w:type="dxa"/>
            <w:vMerge w:val="continue"/>
            <w:tcBorders>
              <w:tl2br w:val="nil"/>
              <w:tr2bl w:val="nil"/>
            </w:tcBorders>
            <w:shd w:val="clear" w:color="auto" w:fill="auto"/>
            <w:noWrap/>
            <w:vAlign w:val="center"/>
          </w:tcPr>
          <w:p w14:paraId="6AC96044">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bidi="ar"/>
              </w:rPr>
            </w:pPr>
          </w:p>
        </w:tc>
        <w:tc>
          <w:tcPr>
            <w:tcW w:w="1613" w:type="dxa"/>
            <w:vMerge w:val="continue"/>
            <w:tcBorders>
              <w:tl2br w:val="nil"/>
              <w:tr2bl w:val="nil"/>
            </w:tcBorders>
            <w:shd w:val="clear" w:color="auto" w:fill="auto"/>
            <w:noWrap/>
            <w:vAlign w:val="center"/>
          </w:tcPr>
          <w:p w14:paraId="634DC0BD">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bidi="ar"/>
              </w:rPr>
            </w:pPr>
          </w:p>
        </w:tc>
        <w:tc>
          <w:tcPr>
            <w:tcW w:w="10831" w:type="dxa"/>
            <w:tcBorders>
              <w:tl2br w:val="nil"/>
              <w:tr2bl w:val="nil"/>
            </w:tcBorders>
            <w:shd w:val="clear" w:color="auto" w:fill="auto"/>
            <w:vAlign w:val="center"/>
          </w:tcPr>
          <w:p w14:paraId="250D3561">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val="en-US" w:eastAsia="zh-CN" w:bidi="ar"/>
              </w:rPr>
              <w:t>聚焦师德师风、教学能力、科研能力、管理能力、实践能力、创新能力等主题，开展团队教师研修活动</w:t>
            </w:r>
          </w:p>
        </w:tc>
      </w:tr>
      <w:tr w14:paraId="1985DB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512" w:type="dxa"/>
            <w:vMerge w:val="continue"/>
            <w:tcBorders>
              <w:tl2br w:val="nil"/>
              <w:tr2bl w:val="nil"/>
            </w:tcBorders>
            <w:shd w:val="clear" w:color="auto" w:fill="auto"/>
            <w:noWrap/>
            <w:vAlign w:val="center"/>
          </w:tcPr>
          <w:p w14:paraId="65815673">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bidi="ar"/>
              </w:rPr>
            </w:pPr>
          </w:p>
        </w:tc>
        <w:tc>
          <w:tcPr>
            <w:tcW w:w="1613" w:type="dxa"/>
            <w:vMerge w:val="restart"/>
            <w:tcBorders>
              <w:tl2br w:val="nil"/>
              <w:tr2bl w:val="nil"/>
            </w:tcBorders>
            <w:shd w:val="clear" w:color="auto" w:fill="auto"/>
            <w:noWrap/>
            <w:vAlign w:val="center"/>
          </w:tcPr>
          <w:p w14:paraId="334B51D2">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val="en-US" w:eastAsia="zh-CN" w:bidi="ar"/>
              </w:rPr>
              <w:t>B22.课题研究（6分）</w:t>
            </w:r>
          </w:p>
        </w:tc>
        <w:tc>
          <w:tcPr>
            <w:tcW w:w="10831" w:type="dxa"/>
            <w:tcBorders>
              <w:tl2br w:val="nil"/>
              <w:tr2bl w:val="nil"/>
            </w:tcBorders>
            <w:shd w:val="clear" w:color="auto" w:fill="auto"/>
            <w:vAlign w:val="center"/>
          </w:tcPr>
          <w:p w14:paraId="6AA5C75A">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val="en-US" w:eastAsia="zh-CN" w:bidi="ar"/>
              </w:rPr>
              <w:t>建立课题孵化、论证、申报、实施及推广全流程机制，倡导教师围绕自身工作岗位及兴趣开展教改科研</w:t>
            </w:r>
          </w:p>
        </w:tc>
      </w:tr>
      <w:tr w14:paraId="28D22D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1512" w:type="dxa"/>
            <w:vMerge w:val="continue"/>
            <w:tcBorders>
              <w:tl2br w:val="nil"/>
              <w:tr2bl w:val="nil"/>
            </w:tcBorders>
            <w:shd w:val="clear" w:color="auto" w:fill="auto"/>
            <w:noWrap/>
            <w:vAlign w:val="center"/>
          </w:tcPr>
          <w:p w14:paraId="717FBB7C">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bidi="ar"/>
              </w:rPr>
            </w:pPr>
          </w:p>
        </w:tc>
        <w:tc>
          <w:tcPr>
            <w:tcW w:w="1613" w:type="dxa"/>
            <w:vMerge w:val="continue"/>
            <w:tcBorders>
              <w:tl2br w:val="nil"/>
              <w:tr2bl w:val="nil"/>
            </w:tcBorders>
            <w:shd w:val="clear" w:color="auto" w:fill="auto"/>
            <w:noWrap/>
            <w:vAlign w:val="center"/>
          </w:tcPr>
          <w:p w14:paraId="79758743">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bidi="ar"/>
              </w:rPr>
            </w:pPr>
          </w:p>
        </w:tc>
        <w:tc>
          <w:tcPr>
            <w:tcW w:w="10831" w:type="dxa"/>
            <w:tcBorders>
              <w:tl2br w:val="nil"/>
              <w:tr2bl w:val="nil"/>
            </w:tcBorders>
            <w:shd w:val="clear" w:color="auto" w:fill="auto"/>
            <w:vAlign w:val="center"/>
          </w:tcPr>
          <w:p w14:paraId="343E7F47">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val="en-US" w:eastAsia="zh-CN" w:bidi="ar"/>
              </w:rPr>
              <w:t>搭建结构合理的教科研梯队，构建校区市三级阶梯式课题培育链，建立课题咨询与专家辅导机制</w:t>
            </w:r>
          </w:p>
        </w:tc>
      </w:tr>
      <w:tr w14:paraId="3F380F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1512" w:type="dxa"/>
            <w:vMerge w:val="continue"/>
            <w:tcBorders>
              <w:tl2br w:val="nil"/>
              <w:tr2bl w:val="nil"/>
            </w:tcBorders>
            <w:shd w:val="clear" w:color="auto" w:fill="auto"/>
            <w:noWrap/>
            <w:vAlign w:val="center"/>
          </w:tcPr>
          <w:p w14:paraId="1E1D0055">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bidi="ar"/>
              </w:rPr>
            </w:pPr>
          </w:p>
        </w:tc>
        <w:tc>
          <w:tcPr>
            <w:tcW w:w="1613" w:type="dxa"/>
            <w:vMerge w:val="continue"/>
            <w:tcBorders>
              <w:tl2br w:val="nil"/>
              <w:tr2bl w:val="nil"/>
            </w:tcBorders>
            <w:shd w:val="clear" w:color="auto" w:fill="auto"/>
            <w:noWrap/>
            <w:vAlign w:val="center"/>
          </w:tcPr>
          <w:p w14:paraId="75E8A7D9">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bidi="ar"/>
              </w:rPr>
            </w:pPr>
          </w:p>
        </w:tc>
        <w:tc>
          <w:tcPr>
            <w:tcW w:w="10831" w:type="dxa"/>
            <w:tcBorders>
              <w:tl2br w:val="nil"/>
              <w:tr2bl w:val="nil"/>
            </w:tcBorders>
            <w:shd w:val="clear" w:color="auto" w:fill="auto"/>
            <w:vAlign w:val="center"/>
          </w:tcPr>
          <w:p w14:paraId="1547A9BE">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val="en-US" w:eastAsia="zh-CN" w:bidi="ar"/>
              </w:rPr>
              <w:t>立项完成本专业领域市级及以上科研课题不少于3个</w:t>
            </w:r>
          </w:p>
        </w:tc>
      </w:tr>
      <w:tr w14:paraId="00BF03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1512" w:type="dxa"/>
            <w:vMerge w:val="continue"/>
            <w:tcBorders>
              <w:tl2br w:val="nil"/>
              <w:tr2bl w:val="nil"/>
            </w:tcBorders>
            <w:shd w:val="clear" w:color="auto" w:fill="auto"/>
            <w:noWrap/>
            <w:vAlign w:val="center"/>
          </w:tcPr>
          <w:p w14:paraId="4AE984B6">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bidi="ar"/>
              </w:rPr>
            </w:pPr>
          </w:p>
        </w:tc>
        <w:tc>
          <w:tcPr>
            <w:tcW w:w="1613" w:type="dxa"/>
            <w:vMerge w:val="restart"/>
            <w:tcBorders>
              <w:tl2br w:val="nil"/>
              <w:tr2bl w:val="nil"/>
            </w:tcBorders>
            <w:shd w:val="clear" w:color="auto" w:fill="auto"/>
            <w:noWrap/>
            <w:vAlign w:val="center"/>
          </w:tcPr>
          <w:p w14:paraId="37479B47">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val="en-US" w:eastAsia="zh-CN" w:bidi="ar"/>
              </w:rPr>
              <w:t>B23.成果产出（6分）</w:t>
            </w:r>
          </w:p>
        </w:tc>
        <w:tc>
          <w:tcPr>
            <w:tcW w:w="10831" w:type="dxa"/>
            <w:tcBorders>
              <w:tl2br w:val="nil"/>
              <w:tr2bl w:val="nil"/>
            </w:tcBorders>
            <w:shd w:val="clear" w:color="auto" w:fill="auto"/>
            <w:vAlign w:val="center"/>
          </w:tcPr>
          <w:p w14:paraId="71B5873E">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val="en-US" w:eastAsia="zh-CN" w:bidi="ar"/>
              </w:rPr>
              <w:t>坚持问题导向、成果导向，建立成果孵化、同行评议、质量审核与评价机制，确保科研成果质量</w:t>
            </w:r>
          </w:p>
        </w:tc>
      </w:tr>
      <w:tr w14:paraId="31427D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1512" w:type="dxa"/>
            <w:vMerge w:val="continue"/>
            <w:tcBorders>
              <w:tl2br w:val="nil"/>
              <w:tr2bl w:val="nil"/>
            </w:tcBorders>
            <w:shd w:val="clear" w:color="auto" w:fill="auto"/>
            <w:noWrap/>
            <w:vAlign w:val="center"/>
          </w:tcPr>
          <w:p w14:paraId="33C9B5A1">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bidi="ar"/>
              </w:rPr>
            </w:pPr>
          </w:p>
        </w:tc>
        <w:tc>
          <w:tcPr>
            <w:tcW w:w="1613" w:type="dxa"/>
            <w:vMerge w:val="continue"/>
            <w:tcBorders>
              <w:tl2br w:val="nil"/>
              <w:tr2bl w:val="nil"/>
            </w:tcBorders>
            <w:shd w:val="clear" w:color="auto" w:fill="auto"/>
            <w:noWrap/>
            <w:vAlign w:val="center"/>
          </w:tcPr>
          <w:p w14:paraId="6EFDD4B1">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bidi="ar"/>
              </w:rPr>
            </w:pPr>
          </w:p>
        </w:tc>
        <w:tc>
          <w:tcPr>
            <w:tcW w:w="10831" w:type="dxa"/>
            <w:tcBorders>
              <w:tl2br w:val="nil"/>
              <w:tr2bl w:val="nil"/>
            </w:tcBorders>
            <w:shd w:val="clear" w:color="auto" w:fill="auto"/>
            <w:vAlign w:val="center"/>
          </w:tcPr>
          <w:p w14:paraId="7DD5F872">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val="en-US" w:eastAsia="zh-CN" w:bidi="ar"/>
              </w:rPr>
              <w:t>聚焦论文、专著、咨政报告等学术成果，体现对职业教育教学改革的理论支撑与实践指导</w:t>
            </w:r>
          </w:p>
        </w:tc>
      </w:tr>
      <w:tr w14:paraId="642A8F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512" w:type="dxa"/>
            <w:vMerge w:val="continue"/>
            <w:tcBorders>
              <w:tl2br w:val="nil"/>
              <w:tr2bl w:val="nil"/>
            </w:tcBorders>
            <w:shd w:val="clear" w:color="auto" w:fill="auto"/>
            <w:noWrap/>
            <w:vAlign w:val="center"/>
          </w:tcPr>
          <w:p w14:paraId="0628AAFB">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bidi="ar"/>
              </w:rPr>
            </w:pPr>
          </w:p>
        </w:tc>
        <w:tc>
          <w:tcPr>
            <w:tcW w:w="1613" w:type="dxa"/>
            <w:vMerge w:val="continue"/>
            <w:tcBorders>
              <w:tl2br w:val="nil"/>
              <w:tr2bl w:val="nil"/>
            </w:tcBorders>
            <w:shd w:val="clear" w:color="auto" w:fill="auto"/>
            <w:noWrap/>
            <w:vAlign w:val="center"/>
          </w:tcPr>
          <w:p w14:paraId="65A75073">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bidi="ar"/>
              </w:rPr>
            </w:pPr>
          </w:p>
        </w:tc>
        <w:tc>
          <w:tcPr>
            <w:tcW w:w="10831" w:type="dxa"/>
            <w:tcBorders>
              <w:tl2br w:val="nil"/>
              <w:tr2bl w:val="nil"/>
            </w:tcBorders>
            <w:shd w:val="clear" w:color="auto" w:fill="auto"/>
            <w:vAlign w:val="center"/>
          </w:tcPr>
          <w:p w14:paraId="73D64F21">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val="en-US" w:eastAsia="zh-CN" w:bidi="ar"/>
              </w:rPr>
              <w:t>在学术期刊上公开发表论文不少于9篇，其中核心期刊3篇或著作3本</w:t>
            </w:r>
          </w:p>
        </w:tc>
      </w:tr>
      <w:tr w14:paraId="11A953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1512" w:type="dxa"/>
            <w:vMerge w:val="continue"/>
            <w:tcBorders>
              <w:tl2br w:val="nil"/>
              <w:tr2bl w:val="nil"/>
            </w:tcBorders>
            <w:shd w:val="clear" w:color="auto" w:fill="auto"/>
            <w:noWrap/>
            <w:vAlign w:val="center"/>
          </w:tcPr>
          <w:p w14:paraId="3968CF22">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bidi="ar"/>
              </w:rPr>
            </w:pPr>
          </w:p>
        </w:tc>
        <w:tc>
          <w:tcPr>
            <w:tcW w:w="1613" w:type="dxa"/>
            <w:vMerge w:val="restart"/>
            <w:tcBorders>
              <w:tl2br w:val="nil"/>
              <w:tr2bl w:val="nil"/>
            </w:tcBorders>
            <w:shd w:val="clear" w:color="auto" w:fill="auto"/>
            <w:noWrap/>
            <w:vAlign w:val="center"/>
          </w:tcPr>
          <w:p w14:paraId="54FCAE14">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val="en-US" w:eastAsia="zh-CN" w:bidi="ar"/>
              </w:rPr>
              <w:t>B24.推广应用（6分）</w:t>
            </w:r>
          </w:p>
        </w:tc>
        <w:tc>
          <w:tcPr>
            <w:tcW w:w="10831" w:type="dxa"/>
            <w:tcBorders>
              <w:tl2br w:val="nil"/>
              <w:tr2bl w:val="nil"/>
            </w:tcBorders>
            <w:shd w:val="clear" w:color="auto" w:fill="auto"/>
            <w:vAlign w:val="center"/>
          </w:tcPr>
          <w:p w14:paraId="38C9999C">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val="en-US" w:eastAsia="zh-CN" w:bidi="ar"/>
              </w:rPr>
              <w:t>建立成果转化机制，形成教科研成果推广方案，将教改成果及时应用于专业的人才培养，形成可复制、可推广的典型案例，孵化教学成果奖</w:t>
            </w:r>
          </w:p>
        </w:tc>
      </w:tr>
      <w:tr w14:paraId="257AA4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512" w:type="dxa"/>
            <w:vMerge w:val="continue"/>
            <w:tcBorders>
              <w:tl2br w:val="nil"/>
              <w:tr2bl w:val="nil"/>
            </w:tcBorders>
            <w:shd w:val="clear" w:color="auto" w:fill="auto"/>
            <w:noWrap/>
            <w:vAlign w:val="center"/>
          </w:tcPr>
          <w:p w14:paraId="489A3E69">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bidi="ar"/>
              </w:rPr>
            </w:pPr>
          </w:p>
        </w:tc>
        <w:tc>
          <w:tcPr>
            <w:tcW w:w="1613" w:type="dxa"/>
            <w:vMerge w:val="continue"/>
            <w:tcBorders>
              <w:tl2br w:val="nil"/>
              <w:tr2bl w:val="nil"/>
            </w:tcBorders>
            <w:shd w:val="clear" w:color="auto" w:fill="auto"/>
            <w:noWrap/>
            <w:vAlign w:val="center"/>
          </w:tcPr>
          <w:p w14:paraId="25BAEC66">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bidi="ar"/>
              </w:rPr>
            </w:pPr>
          </w:p>
        </w:tc>
        <w:tc>
          <w:tcPr>
            <w:tcW w:w="10831" w:type="dxa"/>
            <w:tcBorders>
              <w:tl2br w:val="nil"/>
              <w:tr2bl w:val="nil"/>
            </w:tcBorders>
            <w:shd w:val="clear" w:color="auto" w:fill="auto"/>
            <w:vAlign w:val="center"/>
          </w:tcPr>
          <w:p w14:paraId="7C396AE3">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FangSong_GB2312" w:cs="Times New Roman"/>
                <w:color w:val="000000"/>
                <w:kern w:val="0"/>
                <w:szCs w:val="21"/>
                <w:lang w:val="en-US" w:bidi="ar"/>
              </w:rPr>
            </w:pPr>
            <w:r>
              <w:rPr>
                <w:rFonts w:hint="default" w:ascii="Times New Roman" w:hAnsi="Times New Roman" w:eastAsia="FangSong_GB2312" w:cs="Times New Roman"/>
                <w:color w:val="000000"/>
                <w:kern w:val="0"/>
                <w:szCs w:val="21"/>
                <w:lang w:val="en-US" w:eastAsia="zh-CN" w:bidi="ar"/>
              </w:rPr>
              <w:t>通过主题讲座、论坛交流、教研活动及主流媒体等方式，在市内外推广科研成果</w:t>
            </w:r>
          </w:p>
        </w:tc>
      </w:tr>
      <w:tr w14:paraId="03D5BF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512" w:type="dxa"/>
            <w:vMerge w:val="restart"/>
            <w:tcBorders>
              <w:tl2br w:val="nil"/>
              <w:tr2bl w:val="nil"/>
            </w:tcBorders>
            <w:shd w:val="clear" w:color="auto" w:fill="auto"/>
            <w:noWrap/>
            <w:vAlign w:val="center"/>
          </w:tcPr>
          <w:p w14:paraId="7D7E9E6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val="en-US" w:eastAsia="zh-CN" w:bidi="ar"/>
              </w:rPr>
            </w:pPr>
          </w:p>
          <w:p w14:paraId="107863ED">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val="en-US" w:eastAsia="zh-CN" w:bidi="ar"/>
              </w:rPr>
            </w:pPr>
          </w:p>
          <w:p w14:paraId="3ACF26CB">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val="en-US" w:eastAsia="zh-CN" w:bidi="ar"/>
              </w:rPr>
              <w:t>A7.名师名匠（25分）</w:t>
            </w:r>
          </w:p>
        </w:tc>
        <w:tc>
          <w:tcPr>
            <w:tcW w:w="1613" w:type="dxa"/>
            <w:vMerge w:val="restart"/>
            <w:tcBorders>
              <w:tl2br w:val="nil"/>
              <w:tr2bl w:val="nil"/>
            </w:tcBorders>
            <w:shd w:val="clear" w:color="auto" w:fill="auto"/>
            <w:noWrap/>
            <w:vAlign w:val="center"/>
          </w:tcPr>
          <w:p w14:paraId="4C0627AB">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val="en-US" w:eastAsia="zh-CN" w:bidi="ar"/>
              </w:rPr>
              <w:t>B25.梯队建设（4分）</w:t>
            </w:r>
          </w:p>
        </w:tc>
        <w:tc>
          <w:tcPr>
            <w:tcW w:w="10831" w:type="dxa"/>
            <w:tcBorders>
              <w:tl2br w:val="nil"/>
              <w:tr2bl w:val="nil"/>
            </w:tcBorders>
            <w:shd w:val="clear" w:color="auto" w:fill="auto"/>
            <w:vAlign w:val="center"/>
          </w:tcPr>
          <w:p w14:paraId="6B242159">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FangSong_GB2312" w:cs="Times New Roman"/>
                <w:color w:val="000000"/>
                <w:kern w:val="0"/>
                <w:szCs w:val="21"/>
                <w:lang w:val="en-US" w:bidi="ar"/>
              </w:rPr>
            </w:pPr>
            <w:r>
              <w:rPr>
                <w:rFonts w:hint="default" w:ascii="Times New Roman" w:hAnsi="Times New Roman" w:eastAsia="FangSong_GB2312" w:cs="Times New Roman"/>
                <w:color w:val="000000"/>
                <w:kern w:val="0"/>
                <w:szCs w:val="21"/>
                <w:lang w:val="en-US" w:eastAsia="zh-CN" w:bidi="ar"/>
              </w:rPr>
              <w:t>构建层次清晰、定位准确、优势互补的名师（名匠）培养梯队，突出师德、技艺与育人并重</w:t>
            </w:r>
          </w:p>
        </w:tc>
      </w:tr>
      <w:tr w14:paraId="5C750A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512" w:type="dxa"/>
            <w:vMerge w:val="continue"/>
            <w:tcBorders>
              <w:tl2br w:val="nil"/>
              <w:tr2bl w:val="nil"/>
            </w:tcBorders>
            <w:shd w:val="clear" w:color="auto" w:fill="auto"/>
            <w:noWrap/>
            <w:vAlign w:val="center"/>
          </w:tcPr>
          <w:p w14:paraId="154C2B16">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bidi="ar"/>
              </w:rPr>
            </w:pPr>
          </w:p>
        </w:tc>
        <w:tc>
          <w:tcPr>
            <w:tcW w:w="1613" w:type="dxa"/>
            <w:vMerge w:val="continue"/>
            <w:tcBorders>
              <w:tl2br w:val="nil"/>
              <w:tr2bl w:val="nil"/>
            </w:tcBorders>
            <w:shd w:val="clear" w:color="auto" w:fill="auto"/>
            <w:noWrap/>
            <w:vAlign w:val="center"/>
          </w:tcPr>
          <w:p w14:paraId="577B5A16">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bidi="ar"/>
              </w:rPr>
            </w:pPr>
          </w:p>
        </w:tc>
        <w:tc>
          <w:tcPr>
            <w:tcW w:w="10831" w:type="dxa"/>
            <w:tcBorders>
              <w:tl2br w:val="nil"/>
              <w:tr2bl w:val="nil"/>
            </w:tcBorders>
            <w:shd w:val="clear" w:color="auto" w:fill="auto"/>
            <w:vAlign w:val="center"/>
          </w:tcPr>
          <w:p w14:paraId="226BBCC4">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val="en-US" w:eastAsia="zh-CN" w:bidi="ar"/>
              </w:rPr>
              <w:t>为每个教师定制培养方案，突出项目实践、竞赛锻炼、访学研修等培养方式，促进专业能力与育人能力提升</w:t>
            </w:r>
          </w:p>
        </w:tc>
      </w:tr>
      <w:tr w14:paraId="7EF0EB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512" w:type="dxa"/>
            <w:vMerge w:val="continue"/>
            <w:tcBorders>
              <w:tl2br w:val="nil"/>
              <w:tr2bl w:val="nil"/>
            </w:tcBorders>
            <w:shd w:val="clear" w:color="auto" w:fill="auto"/>
            <w:noWrap/>
            <w:vAlign w:val="center"/>
          </w:tcPr>
          <w:p w14:paraId="5B27E3D1">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bidi="ar"/>
              </w:rPr>
            </w:pPr>
          </w:p>
        </w:tc>
        <w:tc>
          <w:tcPr>
            <w:tcW w:w="1613" w:type="dxa"/>
            <w:vMerge w:val="restart"/>
            <w:tcBorders>
              <w:tl2br w:val="nil"/>
              <w:tr2bl w:val="nil"/>
            </w:tcBorders>
            <w:shd w:val="clear" w:color="auto" w:fill="auto"/>
            <w:noWrap/>
            <w:vAlign w:val="center"/>
          </w:tcPr>
          <w:p w14:paraId="6D4042F4">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val="en-US" w:eastAsia="zh-CN" w:bidi="ar"/>
              </w:rPr>
              <w:t>B26.培养路径(6分）</w:t>
            </w:r>
          </w:p>
        </w:tc>
        <w:tc>
          <w:tcPr>
            <w:tcW w:w="10831" w:type="dxa"/>
            <w:tcBorders>
              <w:tl2br w:val="nil"/>
              <w:tr2bl w:val="nil"/>
            </w:tcBorders>
            <w:shd w:val="clear" w:color="auto" w:fill="auto"/>
            <w:vAlign w:val="center"/>
          </w:tcPr>
          <w:p w14:paraId="443CC4B3">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val="en-US" w:eastAsia="zh-CN" w:bidi="ar"/>
              </w:rPr>
              <w:t>通过跟岗访学、顶岗实践等方式，培养一批青年骨干教师，形成个人成长报告</w:t>
            </w:r>
          </w:p>
        </w:tc>
      </w:tr>
      <w:tr w14:paraId="69A65D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512" w:type="dxa"/>
            <w:vMerge w:val="continue"/>
            <w:tcBorders>
              <w:tl2br w:val="nil"/>
              <w:tr2bl w:val="nil"/>
            </w:tcBorders>
            <w:shd w:val="clear" w:color="auto" w:fill="auto"/>
            <w:noWrap/>
            <w:vAlign w:val="center"/>
          </w:tcPr>
          <w:p w14:paraId="036D0909">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bidi="ar"/>
              </w:rPr>
            </w:pPr>
          </w:p>
        </w:tc>
        <w:tc>
          <w:tcPr>
            <w:tcW w:w="1613" w:type="dxa"/>
            <w:vMerge w:val="continue"/>
            <w:tcBorders>
              <w:tl2br w:val="nil"/>
              <w:tr2bl w:val="nil"/>
            </w:tcBorders>
            <w:shd w:val="clear" w:color="auto" w:fill="auto"/>
            <w:noWrap/>
            <w:vAlign w:val="center"/>
          </w:tcPr>
          <w:p w14:paraId="2D10087F">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bidi="ar"/>
              </w:rPr>
            </w:pPr>
          </w:p>
        </w:tc>
        <w:tc>
          <w:tcPr>
            <w:tcW w:w="10831" w:type="dxa"/>
            <w:tcBorders>
              <w:tl2br w:val="nil"/>
              <w:tr2bl w:val="nil"/>
            </w:tcBorders>
            <w:shd w:val="clear" w:color="auto" w:fill="auto"/>
            <w:vAlign w:val="center"/>
          </w:tcPr>
          <w:p w14:paraId="4289BD68">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val="en-US" w:eastAsia="zh-CN" w:bidi="ar"/>
              </w:rPr>
              <w:t>各团队明确培养对象，加强专业带头人领军能力培养， 培育一批教学专家、技术能手</w:t>
            </w:r>
          </w:p>
        </w:tc>
      </w:tr>
      <w:tr w14:paraId="400A6F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1512" w:type="dxa"/>
            <w:vMerge w:val="continue"/>
            <w:tcBorders>
              <w:tl2br w:val="nil"/>
              <w:tr2bl w:val="nil"/>
            </w:tcBorders>
            <w:shd w:val="clear" w:color="auto" w:fill="auto"/>
            <w:noWrap/>
            <w:vAlign w:val="center"/>
          </w:tcPr>
          <w:p w14:paraId="519697C6">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bidi="ar"/>
              </w:rPr>
            </w:pPr>
          </w:p>
        </w:tc>
        <w:tc>
          <w:tcPr>
            <w:tcW w:w="1613" w:type="dxa"/>
            <w:vMerge w:val="continue"/>
            <w:tcBorders>
              <w:tl2br w:val="nil"/>
              <w:tr2bl w:val="nil"/>
            </w:tcBorders>
            <w:shd w:val="clear" w:color="auto" w:fill="auto"/>
            <w:noWrap/>
            <w:vAlign w:val="center"/>
          </w:tcPr>
          <w:p w14:paraId="6C14808B">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bidi="ar"/>
              </w:rPr>
            </w:pPr>
          </w:p>
        </w:tc>
        <w:tc>
          <w:tcPr>
            <w:tcW w:w="10831" w:type="dxa"/>
            <w:tcBorders>
              <w:tl2br w:val="nil"/>
              <w:tr2bl w:val="nil"/>
            </w:tcBorders>
            <w:shd w:val="clear" w:color="auto" w:fill="auto"/>
            <w:vAlign w:val="center"/>
          </w:tcPr>
          <w:p w14:paraId="1A582ADA">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FangSong_GB2312" w:cs="Times New Roman"/>
                <w:color w:val="000000"/>
                <w:kern w:val="0"/>
                <w:szCs w:val="21"/>
                <w:lang w:val="en-US" w:bidi="ar"/>
              </w:rPr>
            </w:pPr>
            <w:r>
              <w:rPr>
                <w:rFonts w:hint="default" w:ascii="Times New Roman" w:hAnsi="Times New Roman" w:eastAsia="FangSong_GB2312" w:cs="Times New Roman"/>
                <w:color w:val="000000"/>
                <w:kern w:val="0"/>
                <w:szCs w:val="21"/>
                <w:lang w:val="en-US" w:eastAsia="zh-CN" w:bidi="ar"/>
              </w:rPr>
              <w:t>建立“传帮带”制度，发挥正高、特级教师的示范、指导作用，促进青年教师快速成长</w:t>
            </w:r>
          </w:p>
        </w:tc>
      </w:tr>
      <w:tr w14:paraId="4CDB54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1512" w:type="dxa"/>
            <w:vMerge w:val="continue"/>
            <w:tcBorders>
              <w:tl2br w:val="nil"/>
              <w:tr2bl w:val="nil"/>
            </w:tcBorders>
            <w:shd w:val="clear" w:color="auto" w:fill="auto"/>
            <w:noWrap/>
            <w:vAlign w:val="center"/>
          </w:tcPr>
          <w:p w14:paraId="59520ED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bidi="ar"/>
              </w:rPr>
            </w:pPr>
          </w:p>
        </w:tc>
        <w:tc>
          <w:tcPr>
            <w:tcW w:w="1613" w:type="dxa"/>
            <w:vMerge w:val="restart"/>
            <w:tcBorders>
              <w:tl2br w:val="nil"/>
              <w:tr2bl w:val="nil"/>
            </w:tcBorders>
            <w:shd w:val="clear" w:color="auto" w:fill="auto"/>
            <w:noWrap/>
            <w:vAlign w:val="center"/>
          </w:tcPr>
          <w:p w14:paraId="20893508">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val="en-US" w:eastAsia="zh-CN" w:bidi="ar"/>
              </w:rPr>
              <w:t>B27.发展平台（6分）</w:t>
            </w:r>
          </w:p>
        </w:tc>
        <w:tc>
          <w:tcPr>
            <w:tcW w:w="10831" w:type="dxa"/>
            <w:tcBorders>
              <w:tl2br w:val="nil"/>
              <w:tr2bl w:val="nil"/>
            </w:tcBorders>
            <w:shd w:val="clear" w:color="auto" w:fill="auto"/>
            <w:vAlign w:val="center"/>
          </w:tcPr>
          <w:p w14:paraId="145071E0">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FangSong_GB2312" w:cs="Times New Roman"/>
                <w:color w:val="000000"/>
                <w:kern w:val="0"/>
                <w:szCs w:val="21"/>
                <w:lang w:val="en-US" w:bidi="ar"/>
              </w:rPr>
            </w:pPr>
            <w:r>
              <w:rPr>
                <w:rFonts w:hint="default" w:ascii="Times New Roman" w:hAnsi="Times New Roman" w:eastAsia="FangSong_GB2312" w:cs="Times New Roman"/>
                <w:color w:val="000000"/>
                <w:kern w:val="0"/>
                <w:szCs w:val="21"/>
                <w:lang w:val="en-US" w:eastAsia="zh-CN" w:bidi="ar"/>
              </w:rPr>
              <w:t>搭建多类型教师专业发展平台，申报相关教科研项目和改革项目，团队全体成员深度参与</w:t>
            </w:r>
          </w:p>
        </w:tc>
      </w:tr>
      <w:tr w14:paraId="70C204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1512" w:type="dxa"/>
            <w:vMerge w:val="continue"/>
            <w:tcBorders>
              <w:tl2br w:val="nil"/>
              <w:tr2bl w:val="nil"/>
            </w:tcBorders>
            <w:shd w:val="clear" w:color="auto" w:fill="auto"/>
            <w:noWrap/>
            <w:vAlign w:val="center"/>
          </w:tcPr>
          <w:p w14:paraId="3C7023BD">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bidi="ar"/>
              </w:rPr>
            </w:pPr>
          </w:p>
        </w:tc>
        <w:tc>
          <w:tcPr>
            <w:tcW w:w="1613" w:type="dxa"/>
            <w:vMerge w:val="continue"/>
            <w:tcBorders>
              <w:tl2br w:val="nil"/>
              <w:tr2bl w:val="nil"/>
            </w:tcBorders>
            <w:shd w:val="clear" w:color="auto" w:fill="auto"/>
            <w:noWrap/>
            <w:vAlign w:val="center"/>
          </w:tcPr>
          <w:p w14:paraId="5886B6F2">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bidi="ar"/>
              </w:rPr>
            </w:pPr>
          </w:p>
        </w:tc>
        <w:tc>
          <w:tcPr>
            <w:tcW w:w="10831" w:type="dxa"/>
            <w:tcBorders>
              <w:tl2br w:val="nil"/>
              <w:tr2bl w:val="nil"/>
            </w:tcBorders>
            <w:shd w:val="clear" w:color="auto" w:fill="auto"/>
            <w:vAlign w:val="center"/>
          </w:tcPr>
          <w:p w14:paraId="19765F22">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val="en-US" w:eastAsia="zh-CN" w:bidi="ar"/>
              </w:rPr>
              <w:t>校企共建教师企业实践基地，落实每年不少于1个月的教师赴企业实践要求，提升教师“双师”素质</w:t>
            </w:r>
          </w:p>
        </w:tc>
      </w:tr>
      <w:tr w14:paraId="36A413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512" w:type="dxa"/>
            <w:vMerge w:val="continue"/>
            <w:tcBorders>
              <w:tl2br w:val="nil"/>
              <w:tr2bl w:val="nil"/>
            </w:tcBorders>
            <w:shd w:val="clear" w:color="auto" w:fill="auto"/>
            <w:noWrap/>
            <w:vAlign w:val="center"/>
          </w:tcPr>
          <w:p w14:paraId="55BB3B8F">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bidi="ar"/>
              </w:rPr>
            </w:pPr>
          </w:p>
        </w:tc>
        <w:tc>
          <w:tcPr>
            <w:tcW w:w="1613" w:type="dxa"/>
            <w:vMerge w:val="continue"/>
            <w:tcBorders>
              <w:tl2br w:val="nil"/>
              <w:tr2bl w:val="nil"/>
            </w:tcBorders>
            <w:shd w:val="clear" w:color="auto" w:fill="auto"/>
            <w:noWrap/>
            <w:vAlign w:val="center"/>
          </w:tcPr>
          <w:p w14:paraId="2D61A8DA">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bidi="ar"/>
              </w:rPr>
            </w:pPr>
          </w:p>
        </w:tc>
        <w:tc>
          <w:tcPr>
            <w:tcW w:w="10831" w:type="dxa"/>
            <w:tcBorders>
              <w:tl2br w:val="nil"/>
              <w:tr2bl w:val="nil"/>
            </w:tcBorders>
            <w:shd w:val="clear" w:color="auto" w:fill="auto"/>
            <w:vAlign w:val="center"/>
          </w:tcPr>
          <w:p w14:paraId="75B388C4">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val="en-US" w:eastAsia="zh-CN" w:bidi="ar"/>
              </w:rPr>
              <w:t>拓宽合作渠道，依托政府、企业、高校等优质资源，成立教师发展创新联盟，促进教师协同发展</w:t>
            </w:r>
          </w:p>
        </w:tc>
      </w:tr>
      <w:tr w14:paraId="532DE3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512" w:type="dxa"/>
            <w:vMerge w:val="continue"/>
            <w:tcBorders>
              <w:tl2br w:val="nil"/>
              <w:tr2bl w:val="nil"/>
            </w:tcBorders>
            <w:shd w:val="clear" w:color="auto" w:fill="auto"/>
            <w:noWrap/>
            <w:vAlign w:val="center"/>
          </w:tcPr>
          <w:p w14:paraId="30EC9333">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bidi="ar"/>
              </w:rPr>
            </w:pPr>
          </w:p>
        </w:tc>
        <w:tc>
          <w:tcPr>
            <w:tcW w:w="1613" w:type="dxa"/>
            <w:vMerge w:val="restart"/>
            <w:tcBorders>
              <w:tl2br w:val="nil"/>
              <w:tr2bl w:val="nil"/>
            </w:tcBorders>
            <w:shd w:val="clear" w:color="auto" w:fill="auto"/>
            <w:noWrap/>
            <w:vAlign w:val="center"/>
          </w:tcPr>
          <w:p w14:paraId="1A4A36DD">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val="en-US" w:eastAsia="zh-CN" w:bidi="ar"/>
              </w:rPr>
              <w:t>B28.培育成效(9分）</w:t>
            </w:r>
          </w:p>
        </w:tc>
        <w:tc>
          <w:tcPr>
            <w:tcW w:w="10831" w:type="dxa"/>
            <w:tcBorders>
              <w:tl2br w:val="nil"/>
              <w:tr2bl w:val="nil"/>
            </w:tcBorders>
            <w:shd w:val="clear" w:color="auto" w:fill="auto"/>
            <w:vAlign w:val="center"/>
          </w:tcPr>
          <w:p w14:paraId="3DD093C7">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val="en-US" w:eastAsia="zh-CN" w:bidi="ar"/>
              </w:rPr>
              <w:t>各团队中、 高级“双师型”教师占比达 80%及以上</w:t>
            </w:r>
          </w:p>
        </w:tc>
      </w:tr>
      <w:tr w14:paraId="158737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1512" w:type="dxa"/>
            <w:vMerge w:val="continue"/>
            <w:tcBorders>
              <w:tl2br w:val="nil"/>
              <w:tr2bl w:val="nil"/>
            </w:tcBorders>
            <w:shd w:val="clear" w:color="auto" w:fill="auto"/>
            <w:noWrap/>
            <w:vAlign w:val="center"/>
          </w:tcPr>
          <w:p w14:paraId="0DA2855D">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bidi="ar"/>
              </w:rPr>
            </w:pPr>
          </w:p>
        </w:tc>
        <w:tc>
          <w:tcPr>
            <w:tcW w:w="1613" w:type="dxa"/>
            <w:vMerge w:val="continue"/>
            <w:tcBorders>
              <w:tl2br w:val="nil"/>
              <w:tr2bl w:val="nil"/>
            </w:tcBorders>
            <w:shd w:val="clear" w:color="auto" w:fill="auto"/>
            <w:noWrap/>
            <w:vAlign w:val="center"/>
          </w:tcPr>
          <w:p w14:paraId="268B8BC9">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bidi="ar"/>
              </w:rPr>
            </w:pPr>
          </w:p>
        </w:tc>
        <w:tc>
          <w:tcPr>
            <w:tcW w:w="10831" w:type="dxa"/>
            <w:tcBorders>
              <w:tl2br w:val="nil"/>
              <w:tr2bl w:val="nil"/>
            </w:tcBorders>
            <w:shd w:val="clear" w:color="auto" w:fill="auto"/>
            <w:vAlign w:val="center"/>
          </w:tcPr>
          <w:p w14:paraId="56DBDE11">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val="en-US" w:eastAsia="zh-CN" w:bidi="ar"/>
              </w:rPr>
              <w:t>入选市级及以上专业带头人、技术能手、大赛指导教师、教学名师、骨干教师等不少于4人次</w:t>
            </w:r>
          </w:p>
        </w:tc>
      </w:tr>
      <w:tr w14:paraId="58B417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1512" w:type="dxa"/>
            <w:vMerge w:val="continue"/>
            <w:tcBorders>
              <w:tl2br w:val="nil"/>
              <w:tr2bl w:val="nil"/>
            </w:tcBorders>
            <w:shd w:val="clear" w:color="auto" w:fill="auto"/>
            <w:noWrap/>
            <w:vAlign w:val="center"/>
          </w:tcPr>
          <w:p w14:paraId="2C7AACB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bidi="ar"/>
              </w:rPr>
            </w:pPr>
          </w:p>
        </w:tc>
        <w:tc>
          <w:tcPr>
            <w:tcW w:w="1613" w:type="dxa"/>
            <w:vMerge w:val="continue"/>
            <w:tcBorders>
              <w:tl2br w:val="nil"/>
              <w:tr2bl w:val="nil"/>
            </w:tcBorders>
            <w:shd w:val="clear" w:color="auto" w:fill="auto"/>
            <w:noWrap/>
            <w:vAlign w:val="center"/>
          </w:tcPr>
          <w:p w14:paraId="035E80AF">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bidi="ar"/>
              </w:rPr>
            </w:pPr>
          </w:p>
        </w:tc>
        <w:tc>
          <w:tcPr>
            <w:tcW w:w="10831" w:type="dxa"/>
            <w:tcBorders>
              <w:tl2br w:val="nil"/>
              <w:tr2bl w:val="nil"/>
            </w:tcBorders>
            <w:shd w:val="clear" w:color="auto" w:fill="auto"/>
            <w:vAlign w:val="center"/>
          </w:tcPr>
          <w:p w14:paraId="36F75F29">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val="en-US" w:eastAsia="zh-CN" w:bidi="ar"/>
              </w:rPr>
              <w:t>教师参加教学能力比赛、技能大赛（教师赛或师生同赛）获市级二等奖及以上奖励不少于5人次，或获得发明专利2-3个（实用新型专利3-4个）</w:t>
            </w:r>
          </w:p>
        </w:tc>
      </w:tr>
      <w:tr w14:paraId="782357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512" w:type="dxa"/>
            <w:vMerge w:val="continue"/>
            <w:tcBorders>
              <w:tl2br w:val="nil"/>
              <w:tr2bl w:val="nil"/>
            </w:tcBorders>
            <w:shd w:val="clear" w:color="auto" w:fill="auto"/>
            <w:noWrap/>
            <w:vAlign w:val="center"/>
          </w:tcPr>
          <w:p w14:paraId="3047D59F">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bidi="ar"/>
              </w:rPr>
            </w:pPr>
          </w:p>
        </w:tc>
        <w:tc>
          <w:tcPr>
            <w:tcW w:w="1613" w:type="dxa"/>
            <w:vMerge w:val="continue"/>
            <w:tcBorders>
              <w:tl2br w:val="nil"/>
              <w:tr2bl w:val="nil"/>
            </w:tcBorders>
            <w:shd w:val="clear" w:color="auto" w:fill="auto"/>
            <w:noWrap/>
            <w:vAlign w:val="center"/>
          </w:tcPr>
          <w:p w14:paraId="38B180BB">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bidi="ar"/>
              </w:rPr>
            </w:pPr>
          </w:p>
        </w:tc>
        <w:tc>
          <w:tcPr>
            <w:tcW w:w="10831" w:type="dxa"/>
            <w:tcBorders>
              <w:tl2br w:val="nil"/>
              <w:tr2bl w:val="nil"/>
            </w:tcBorders>
            <w:shd w:val="clear" w:color="auto" w:fill="auto"/>
            <w:vAlign w:val="center"/>
          </w:tcPr>
          <w:p w14:paraId="780E9F9C">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val="en-US" w:eastAsia="zh-CN" w:bidi="ar"/>
              </w:rPr>
              <w:t>教师获得市级及以上教书育人楷模、最美教师等个人荣誉不少于3人次</w:t>
            </w:r>
          </w:p>
        </w:tc>
      </w:tr>
      <w:tr w14:paraId="0EE7F3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1512" w:type="dxa"/>
            <w:vMerge w:val="restart"/>
            <w:tcBorders>
              <w:tl2br w:val="nil"/>
              <w:tr2bl w:val="nil"/>
            </w:tcBorders>
            <w:shd w:val="clear" w:color="auto" w:fill="auto"/>
            <w:noWrap/>
            <w:vAlign w:val="center"/>
          </w:tcPr>
          <w:p w14:paraId="79621533">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val="en-US" w:eastAsia="zh-CN" w:bidi="ar"/>
              </w:rPr>
            </w:pPr>
          </w:p>
          <w:p w14:paraId="7909B676">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val="en-US" w:eastAsia="zh-CN" w:bidi="ar"/>
              </w:rPr>
            </w:pPr>
          </w:p>
          <w:p w14:paraId="003D0C97">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val="en-US" w:eastAsia="zh-CN" w:bidi="ar"/>
              </w:rPr>
            </w:pPr>
          </w:p>
          <w:p w14:paraId="05B167CF">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val="en-US" w:eastAsia="zh-CN" w:bidi="ar"/>
              </w:rPr>
            </w:pPr>
          </w:p>
          <w:p w14:paraId="135AFD25">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val="en-US" w:eastAsia="zh-CN" w:bidi="ar"/>
              </w:rPr>
            </w:pPr>
          </w:p>
          <w:p w14:paraId="76649568">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val="en-US" w:eastAsia="zh-CN" w:bidi="ar"/>
              </w:rPr>
              <w:t>A8.人才质量（20分）</w:t>
            </w:r>
          </w:p>
        </w:tc>
        <w:tc>
          <w:tcPr>
            <w:tcW w:w="1613" w:type="dxa"/>
            <w:vMerge w:val="restart"/>
            <w:tcBorders>
              <w:tl2br w:val="nil"/>
              <w:tr2bl w:val="nil"/>
            </w:tcBorders>
            <w:shd w:val="clear" w:color="auto" w:fill="auto"/>
            <w:noWrap/>
            <w:vAlign w:val="center"/>
          </w:tcPr>
          <w:p w14:paraId="0B7F9F91">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val="en-US" w:eastAsia="zh-CN" w:bidi="ar"/>
              </w:rPr>
              <w:t>B29.学生管理（4分）</w:t>
            </w:r>
          </w:p>
        </w:tc>
        <w:tc>
          <w:tcPr>
            <w:tcW w:w="10831" w:type="dxa"/>
            <w:tcBorders>
              <w:tl2br w:val="nil"/>
              <w:tr2bl w:val="nil"/>
            </w:tcBorders>
            <w:shd w:val="clear" w:color="auto" w:fill="auto"/>
            <w:vAlign w:val="center"/>
          </w:tcPr>
          <w:p w14:paraId="1B0E0AA6">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val="en-US" w:eastAsia="zh-CN" w:bidi="ar"/>
              </w:rPr>
              <w:t>依托学校办学理念、育人价值观，构建富有特色的学生管理模式</w:t>
            </w:r>
          </w:p>
        </w:tc>
      </w:tr>
      <w:tr w14:paraId="5F3126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512" w:type="dxa"/>
            <w:vMerge w:val="continue"/>
            <w:tcBorders>
              <w:tl2br w:val="nil"/>
              <w:tr2bl w:val="nil"/>
            </w:tcBorders>
            <w:shd w:val="clear" w:color="auto" w:fill="auto"/>
            <w:noWrap/>
            <w:vAlign w:val="center"/>
          </w:tcPr>
          <w:p w14:paraId="3658A8F0">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bidi="ar"/>
              </w:rPr>
            </w:pPr>
          </w:p>
        </w:tc>
        <w:tc>
          <w:tcPr>
            <w:tcW w:w="1613" w:type="dxa"/>
            <w:vMerge w:val="continue"/>
            <w:tcBorders>
              <w:tl2br w:val="nil"/>
              <w:tr2bl w:val="nil"/>
            </w:tcBorders>
            <w:shd w:val="clear" w:color="auto" w:fill="auto"/>
            <w:noWrap/>
            <w:vAlign w:val="center"/>
          </w:tcPr>
          <w:p w14:paraId="66E4FF6A">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bidi="ar"/>
              </w:rPr>
            </w:pPr>
          </w:p>
        </w:tc>
        <w:tc>
          <w:tcPr>
            <w:tcW w:w="10831" w:type="dxa"/>
            <w:tcBorders>
              <w:tl2br w:val="nil"/>
              <w:tr2bl w:val="nil"/>
            </w:tcBorders>
            <w:shd w:val="clear" w:color="auto" w:fill="auto"/>
            <w:vAlign w:val="center"/>
          </w:tcPr>
          <w:p w14:paraId="78633378">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val="en-US" w:eastAsia="zh-CN" w:bidi="ar"/>
              </w:rPr>
              <w:t>建立家校企生多方协同机制，围绕学习过程、行为规范与终身发展实施联动管理，创设多维联控的管理生态</w:t>
            </w:r>
          </w:p>
        </w:tc>
      </w:tr>
      <w:tr w14:paraId="4C3E61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1512" w:type="dxa"/>
            <w:vMerge w:val="continue"/>
            <w:tcBorders>
              <w:tl2br w:val="nil"/>
              <w:tr2bl w:val="nil"/>
            </w:tcBorders>
            <w:shd w:val="clear" w:color="auto" w:fill="auto"/>
            <w:noWrap/>
            <w:vAlign w:val="center"/>
          </w:tcPr>
          <w:p w14:paraId="12101AD5">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bidi="ar"/>
              </w:rPr>
            </w:pPr>
          </w:p>
        </w:tc>
        <w:tc>
          <w:tcPr>
            <w:tcW w:w="1613" w:type="dxa"/>
            <w:vMerge w:val="restart"/>
            <w:tcBorders>
              <w:tl2br w:val="nil"/>
              <w:tr2bl w:val="nil"/>
            </w:tcBorders>
            <w:shd w:val="clear" w:color="auto" w:fill="auto"/>
            <w:noWrap/>
            <w:vAlign w:val="center"/>
          </w:tcPr>
          <w:p w14:paraId="58CC4423">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val="en-US" w:eastAsia="zh-CN" w:bidi="ar"/>
              </w:rPr>
              <w:t>B30.育人模式（4分）</w:t>
            </w:r>
          </w:p>
        </w:tc>
        <w:tc>
          <w:tcPr>
            <w:tcW w:w="10831" w:type="dxa"/>
            <w:tcBorders>
              <w:tl2br w:val="nil"/>
              <w:tr2bl w:val="nil"/>
            </w:tcBorders>
            <w:shd w:val="clear" w:color="auto" w:fill="auto"/>
            <w:vAlign w:val="center"/>
          </w:tcPr>
          <w:p w14:paraId="03B1E4B1">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val="en-US" w:eastAsia="zh-CN" w:bidi="ar"/>
              </w:rPr>
              <w:t>推进学生德智体美劳全面发展，落实立德树人根本任务，推进“岗课赛证”综合育人</w:t>
            </w:r>
          </w:p>
        </w:tc>
      </w:tr>
      <w:tr w14:paraId="1EC463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512" w:type="dxa"/>
            <w:vMerge w:val="continue"/>
            <w:tcBorders>
              <w:tl2br w:val="nil"/>
              <w:tr2bl w:val="nil"/>
            </w:tcBorders>
            <w:shd w:val="clear" w:color="auto" w:fill="auto"/>
            <w:noWrap/>
            <w:vAlign w:val="center"/>
          </w:tcPr>
          <w:p w14:paraId="7A409BE0">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bidi="ar"/>
              </w:rPr>
            </w:pPr>
          </w:p>
        </w:tc>
        <w:tc>
          <w:tcPr>
            <w:tcW w:w="1613" w:type="dxa"/>
            <w:vMerge w:val="continue"/>
            <w:tcBorders>
              <w:tl2br w:val="nil"/>
              <w:tr2bl w:val="nil"/>
            </w:tcBorders>
            <w:shd w:val="clear" w:color="auto" w:fill="auto"/>
            <w:noWrap/>
            <w:vAlign w:val="center"/>
          </w:tcPr>
          <w:p w14:paraId="48C11657">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bidi="ar"/>
              </w:rPr>
            </w:pPr>
          </w:p>
        </w:tc>
        <w:tc>
          <w:tcPr>
            <w:tcW w:w="10831" w:type="dxa"/>
            <w:tcBorders>
              <w:tl2br w:val="nil"/>
              <w:tr2bl w:val="nil"/>
            </w:tcBorders>
            <w:shd w:val="clear" w:color="auto" w:fill="auto"/>
            <w:vAlign w:val="center"/>
          </w:tcPr>
          <w:p w14:paraId="07C00042">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val="en-US" w:eastAsia="zh-CN" w:bidi="ar"/>
              </w:rPr>
              <w:t>加强学生职业精神、工匠精神、创新创业精神的培养，促进知行合一</w:t>
            </w:r>
          </w:p>
        </w:tc>
      </w:tr>
      <w:tr w14:paraId="099417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512" w:type="dxa"/>
            <w:vMerge w:val="continue"/>
            <w:tcBorders>
              <w:tl2br w:val="nil"/>
              <w:tr2bl w:val="nil"/>
            </w:tcBorders>
            <w:shd w:val="clear" w:color="auto" w:fill="auto"/>
            <w:noWrap/>
            <w:vAlign w:val="center"/>
          </w:tcPr>
          <w:p w14:paraId="77391250">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bidi="ar"/>
              </w:rPr>
            </w:pPr>
          </w:p>
        </w:tc>
        <w:tc>
          <w:tcPr>
            <w:tcW w:w="1613" w:type="dxa"/>
            <w:vMerge w:val="continue"/>
            <w:tcBorders>
              <w:tl2br w:val="nil"/>
              <w:tr2bl w:val="nil"/>
            </w:tcBorders>
            <w:shd w:val="clear" w:color="auto" w:fill="auto"/>
            <w:noWrap/>
            <w:vAlign w:val="center"/>
          </w:tcPr>
          <w:p w14:paraId="59ED2B54">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bidi="ar"/>
              </w:rPr>
            </w:pPr>
          </w:p>
        </w:tc>
        <w:tc>
          <w:tcPr>
            <w:tcW w:w="10831" w:type="dxa"/>
            <w:tcBorders>
              <w:tl2br w:val="nil"/>
              <w:tr2bl w:val="nil"/>
            </w:tcBorders>
            <w:shd w:val="clear" w:color="auto" w:fill="auto"/>
            <w:vAlign w:val="center"/>
          </w:tcPr>
          <w:p w14:paraId="01A7B8E6">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val="en-US" w:eastAsia="zh-CN" w:bidi="ar"/>
              </w:rPr>
              <w:t>引进校企合作典型生产实践项目，强化学生实习实训教学，提高学生技能水平和人才培养质量</w:t>
            </w:r>
          </w:p>
        </w:tc>
      </w:tr>
      <w:tr w14:paraId="3757B1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512" w:type="dxa"/>
            <w:vMerge w:val="continue"/>
            <w:tcBorders>
              <w:tl2br w:val="nil"/>
              <w:tr2bl w:val="nil"/>
            </w:tcBorders>
            <w:shd w:val="clear" w:color="auto" w:fill="auto"/>
            <w:noWrap/>
            <w:vAlign w:val="center"/>
          </w:tcPr>
          <w:p w14:paraId="4D34856A">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bidi="ar"/>
              </w:rPr>
            </w:pPr>
          </w:p>
        </w:tc>
        <w:tc>
          <w:tcPr>
            <w:tcW w:w="1613" w:type="dxa"/>
            <w:vMerge w:val="restart"/>
            <w:tcBorders>
              <w:tl2br w:val="nil"/>
              <w:tr2bl w:val="nil"/>
            </w:tcBorders>
            <w:shd w:val="clear" w:color="auto" w:fill="auto"/>
            <w:noWrap/>
            <w:vAlign w:val="center"/>
          </w:tcPr>
          <w:p w14:paraId="75C01EBD">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val="en-US" w:eastAsia="zh-CN" w:bidi="ar"/>
              </w:rPr>
              <w:t>B31.综合评价（4分）</w:t>
            </w:r>
          </w:p>
        </w:tc>
        <w:tc>
          <w:tcPr>
            <w:tcW w:w="10831" w:type="dxa"/>
            <w:tcBorders>
              <w:tl2br w:val="nil"/>
              <w:tr2bl w:val="nil"/>
            </w:tcBorders>
            <w:shd w:val="clear" w:color="auto" w:fill="auto"/>
            <w:vAlign w:val="center"/>
          </w:tcPr>
          <w:p w14:paraId="07A4728D">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val="en-US" w:eastAsia="zh-CN" w:bidi="ar"/>
              </w:rPr>
              <w:t>建立具有学校特色的学生综合素质评价体系</w:t>
            </w:r>
          </w:p>
        </w:tc>
      </w:tr>
      <w:tr w14:paraId="6230B7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512" w:type="dxa"/>
            <w:vMerge w:val="continue"/>
            <w:tcBorders>
              <w:tl2br w:val="nil"/>
              <w:tr2bl w:val="nil"/>
            </w:tcBorders>
            <w:shd w:val="clear" w:color="auto" w:fill="auto"/>
            <w:noWrap/>
            <w:vAlign w:val="center"/>
          </w:tcPr>
          <w:p w14:paraId="31682ED9">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bidi="ar"/>
              </w:rPr>
            </w:pPr>
          </w:p>
        </w:tc>
        <w:tc>
          <w:tcPr>
            <w:tcW w:w="1613" w:type="dxa"/>
            <w:vMerge w:val="continue"/>
            <w:tcBorders>
              <w:tl2br w:val="nil"/>
              <w:tr2bl w:val="nil"/>
            </w:tcBorders>
            <w:shd w:val="clear" w:color="auto" w:fill="auto"/>
            <w:noWrap/>
            <w:vAlign w:val="center"/>
          </w:tcPr>
          <w:p w14:paraId="7624DE52">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bidi="ar"/>
              </w:rPr>
            </w:pPr>
          </w:p>
        </w:tc>
        <w:tc>
          <w:tcPr>
            <w:tcW w:w="10831" w:type="dxa"/>
            <w:tcBorders>
              <w:tl2br w:val="nil"/>
              <w:tr2bl w:val="nil"/>
            </w:tcBorders>
            <w:shd w:val="clear" w:color="auto" w:fill="auto"/>
            <w:vAlign w:val="center"/>
          </w:tcPr>
          <w:p w14:paraId="1007EF0F">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FangSong_GB2312" w:cs="Times New Roman"/>
                <w:color w:val="000000"/>
                <w:kern w:val="0"/>
                <w:szCs w:val="21"/>
                <w:lang w:val="en-US" w:bidi="ar"/>
              </w:rPr>
            </w:pPr>
            <w:r>
              <w:rPr>
                <w:rFonts w:hint="default" w:ascii="Times New Roman" w:hAnsi="Times New Roman" w:eastAsia="FangSong_GB2312" w:cs="Times New Roman"/>
                <w:color w:val="000000"/>
                <w:kern w:val="0"/>
                <w:szCs w:val="21"/>
                <w:lang w:val="en-US" w:eastAsia="zh-CN" w:bidi="ar"/>
              </w:rPr>
              <w:t>开发学生综合素质评价系统，建立学生个人成长档案，实现全过程跟踪与可视化管理</w:t>
            </w:r>
          </w:p>
        </w:tc>
      </w:tr>
      <w:tr w14:paraId="5276CC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512" w:type="dxa"/>
            <w:vMerge w:val="continue"/>
            <w:tcBorders>
              <w:tl2br w:val="nil"/>
              <w:tr2bl w:val="nil"/>
            </w:tcBorders>
            <w:shd w:val="clear" w:color="auto" w:fill="auto"/>
            <w:noWrap/>
            <w:vAlign w:val="center"/>
          </w:tcPr>
          <w:p w14:paraId="272CB64F">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bidi="ar"/>
              </w:rPr>
            </w:pPr>
          </w:p>
        </w:tc>
        <w:tc>
          <w:tcPr>
            <w:tcW w:w="1613" w:type="dxa"/>
            <w:vMerge w:val="restart"/>
            <w:tcBorders>
              <w:tl2br w:val="nil"/>
              <w:tr2bl w:val="nil"/>
            </w:tcBorders>
            <w:shd w:val="clear" w:color="auto" w:fill="auto"/>
            <w:noWrap/>
            <w:vAlign w:val="center"/>
          </w:tcPr>
          <w:p w14:paraId="676BF46C">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val="en-US" w:eastAsia="zh-CN" w:bidi="ar"/>
              </w:rPr>
              <w:t>B32 育人成效（8分）</w:t>
            </w:r>
          </w:p>
        </w:tc>
        <w:tc>
          <w:tcPr>
            <w:tcW w:w="10831" w:type="dxa"/>
            <w:tcBorders>
              <w:tl2br w:val="nil"/>
              <w:tr2bl w:val="nil"/>
            </w:tcBorders>
            <w:shd w:val="clear" w:color="auto" w:fill="auto"/>
            <w:vAlign w:val="center"/>
          </w:tcPr>
          <w:p w14:paraId="78762DF5">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val="en-US" w:eastAsia="zh-CN" w:bidi="ar"/>
              </w:rPr>
              <w:t>学生参加技能大赛（学生赛或师生同赛）获市级二等奖及以上奖励不少于5人次</w:t>
            </w:r>
          </w:p>
        </w:tc>
      </w:tr>
      <w:tr w14:paraId="361F66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1512" w:type="dxa"/>
            <w:vMerge w:val="continue"/>
            <w:tcBorders>
              <w:tl2br w:val="nil"/>
              <w:tr2bl w:val="nil"/>
            </w:tcBorders>
            <w:shd w:val="clear" w:color="auto" w:fill="auto"/>
            <w:noWrap/>
            <w:vAlign w:val="center"/>
          </w:tcPr>
          <w:p w14:paraId="7ECA1B55">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bidi="ar"/>
              </w:rPr>
            </w:pPr>
          </w:p>
        </w:tc>
        <w:tc>
          <w:tcPr>
            <w:tcW w:w="1613" w:type="dxa"/>
            <w:vMerge w:val="continue"/>
            <w:tcBorders>
              <w:tl2br w:val="nil"/>
              <w:tr2bl w:val="nil"/>
            </w:tcBorders>
            <w:shd w:val="clear" w:color="auto" w:fill="auto"/>
            <w:noWrap/>
            <w:vAlign w:val="center"/>
          </w:tcPr>
          <w:p w14:paraId="48F3E150">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bidi="ar"/>
              </w:rPr>
            </w:pPr>
          </w:p>
        </w:tc>
        <w:tc>
          <w:tcPr>
            <w:tcW w:w="10831" w:type="dxa"/>
            <w:tcBorders>
              <w:tl2br w:val="nil"/>
              <w:tr2bl w:val="nil"/>
            </w:tcBorders>
            <w:shd w:val="clear" w:color="auto" w:fill="auto"/>
            <w:vAlign w:val="center"/>
          </w:tcPr>
          <w:p w14:paraId="0CAFF34A">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val="en-US" w:eastAsia="zh-CN" w:bidi="ar"/>
              </w:rPr>
              <w:t>参加“创新创业”竞赛获市级二等奖及以上奖励不少于2项</w:t>
            </w:r>
          </w:p>
        </w:tc>
      </w:tr>
      <w:tr w14:paraId="26C8B8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512" w:type="dxa"/>
            <w:vMerge w:val="continue"/>
            <w:tcBorders>
              <w:tl2br w:val="nil"/>
              <w:tr2bl w:val="nil"/>
            </w:tcBorders>
            <w:shd w:val="clear" w:color="auto" w:fill="auto"/>
            <w:noWrap/>
            <w:vAlign w:val="center"/>
          </w:tcPr>
          <w:p w14:paraId="2EA78F09">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bidi="ar"/>
              </w:rPr>
            </w:pPr>
          </w:p>
        </w:tc>
        <w:tc>
          <w:tcPr>
            <w:tcW w:w="1613" w:type="dxa"/>
            <w:vMerge w:val="continue"/>
            <w:tcBorders>
              <w:tl2br w:val="nil"/>
              <w:tr2bl w:val="nil"/>
            </w:tcBorders>
            <w:shd w:val="clear" w:color="auto" w:fill="auto"/>
            <w:noWrap/>
            <w:vAlign w:val="center"/>
          </w:tcPr>
          <w:p w14:paraId="359E3C7D">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bidi="ar"/>
              </w:rPr>
            </w:pPr>
          </w:p>
        </w:tc>
        <w:tc>
          <w:tcPr>
            <w:tcW w:w="10831" w:type="dxa"/>
            <w:tcBorders>
              <w:tl2br w:val="nil"/>
              <w:tr2bl w:val="nil"/>
            </w:tcBorders>
            <w:shd w:val="clear" w:color="auto" w:fill="auto"/>
            <w:vAlign w:val="center"/>
          </w:tcPr>
          <w:p w14:paraId="6761743C">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val="en-US" w:eastAsia="zh-CN" w:bidi="ar"/>
              </w:rPr>
              <w:t>学生参加“1+X”证书制度等级考试过关率达到85%以上</w:t>
            </w:r>
          </w:p>
        </w:tc>
      </w:tr>
      <w:tr w14:paraId="388E68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512" w:type="dxa"/>
            <w:vMerge w:val="continue"/>
            <w:tcBorders>
              <w:tl2br w:val="nil"/>
              <w:tr2bl w:val="nil"/>
            </w:tcBorders>
            <w:shd w:val="clear" w:color="auto" w:fill="auto"/>
            <w:noWrap/>
            <w:vAlign w:val="center"/>
          </w:tcPr>
          <w:p w14:paraId="0CFE6CA7">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bidi="ar"/>
              </w:rPr>
            </w:pPr>
          </w:p>
        </w:tc>
        <w:tc>
          <w:tcPr>
            <w:tcW w:w="1613" w:type="dxa"/>
            <w:vMerge w:val="continue"/>
            <w:tcBorders>
              <w:tl2br w:val="nil"/>
              <w:tr2bl w:val="nil"/>
            </w:tcBorders>
            <w:shd w:val="clear" w:color="auto" w:fill="auto"/>
            <w:noWrap/>
            <w:vAlign w:val="center"/>
          </w:tcPr>
          <w:p w14:paraId="0524A869">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bidi="ar"/>
              </w:rPr>
            </w:pPr>
          </w:p>
        </w:tc>
        <w:tc>
          <w:tcPr>
            <w:tcW w:w="10831" w:type="dxa"/>
            <w:tcBorders>
              <w:tl2br w:val="nil"/>
              <w:tr2bl w:val="nil"/>
            </w:tcBorders>
            <w:shd w:val="clear" w:color="auto" w:fill="auto"/>
            <w:vAlign w:val="center"/>
          </w:tcPr>
          <w:p w14:paraId="4866B219">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val="en-US" w:eastAsia="zh-CN" w:bidi="ar"/>
              </w:rPr>
              <w:t>建成市级及以上校企合作典型生产实践项目或市级及以上高技能人才培训基地，或深度参与市域产教联合体、行业产教共同体建设。</w:t>
            </w:r>
          </w:p>
        </w:tc>
      </w:tr>
      <w:tr w14:paraId="27F8B4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1512" w:type="dxa"/>
            <w:vMerge w:val="restart"/>
            <w:tcBorders>
              <w:tl2br w:val="nil"/>
              <w:tr2bl w:val="nil"/>
            </w:tcBorders>
            <w:shd w:val="clear" w:color="auto" w:fill="auto"/>
            <w:noWrap/>
            <w:vAlign w:val="center"/>
          </w:tcPr>
          <w:p w14:paraId="48F75B94">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val="en-US" w:eastAsia="zh-CN" w:bidi="ar"/>
              </w:rPr>
              <w:t>A9 示范推广（20分）</w:t>
            </w:r>
          </w:p>
        </w:tc>
        <w:tc>
          <w:tcPr>
            <w:tcW w:w="1613" w:type="dxa"/>
            <w:vMerge w:val="restart"/>
            <w:tcBorders>
              <w:tl2br w:val="nil"/>
              <w:tr2bl w:val="nil"/>
            </w:tcBorders>
            <w:shd w:val="clear" w:color="auto" w:fill="auto"/>
            <w:noWrap/>
            <w:vAlign w:val="center"/>
          </w:tcPr>
          <w:p w14:paraId="551FCAE2">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val="en-US" w:eastAsia="zh-CN" w:bidi="ar"/>
              </w:rPr>
              <w:t>B33.建设成果（10分）</w:t>
            </w:r>
          </w:p>
        </w:tc>
        <w:tc>
          <w:tcPr>
            <w:tcW w:w="10831" w:type="dxa"/>
            <w:tcBorders>
              <w:tl2br w:val="nil"/>
              <w:tr2bl w:val="nil"/>
            </w:tcBorders>
            <w:shd w:val="clear" w:color="auto" w:fill="auto"/>
            <w:vAlign w:val="center"/>
          </w:tcPr>
          <w:p w14:paraId="1D2E181A">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FangSong_GB2312" w:cs="Times New Roman"/>
                <w:color w:val="000000"/>
                <w:kern w:val="0"/>
                <w:szCs w:val="21"/>
                <w:lang w:val="en-US" w:bidi="ar"/>
              </w:rPr>
            </w:pPr>
            <w:r>
              <w:rPr>
                <w:rFonts w:hint="default" w:ascii="Times New Roman" w:hAnsi="Times New Roman" w:eastAsia="FangSong_GB2312" w:cs="Times New Roman"/>
                <w:color w:val="000000"/>
                <w:kern w:val="0"/>
                <w:szCs w:val="21"/>
                <w:lang w:val="en-US" w:eastAsia="zh-CN" w:bidi="ar"/>
              </w:rPr>
              <w:t>形成具有本校特色的整校推进教师发展范式，形成典型经验和案例，引领市内外学校“双师型”教师队伍建设</w:t>
            </w:r>
          </w:p>
        </w:tc>
      </w:tr>
      <w:tr w14:paraId="378B84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512" w:type="dxa"/>
            <w:vMerge w:val="continue"/>
            <w:tcBorders>
              <w:tl2br w:val="nil"/>
              <w:tr2bl w:val="nil"/>
            </w:tcBorders>
            <w:shd w:val="clear" w:color="auto" w:fill="auto"/>
            <w:noWrap/>
            <w:vAlign w:val="center"/>
          </w:tcPr>
          <w:p w14:paraId="4C20DFAC">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bidi="ar"/>
              </w:rPr>
            </w:pPr>
          </w:p>
        </w:tc>
        <w:tc>
          <w:tcPr>
            <w:tcW w:w="1613" w:type="dxa"/>
            <w:vMerge w:val="continue"/>
            <w:tcBorders>
              <w:tl2br w:val="nil"/>
              <w:tr2bl w:val="nil"/>
            </w:tcBorders>
            <w:shd w:val="clear" w:color="auto" w:fill="auto"/>
            <w:noWrap/>
            <w:vAlign w:val="center"/>
          </w:tcPr>
          <w:p w14:paraId="36DEC6D6">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bidi="ar"/>
              </w:rPr>
            </w:pPr>
          </w:p>
        </w:tc>
        <w:tc>
          <w:tcPr>
            <w:tcW w:w="10831" w:type="dxa"/>
            <w:tcBorders>
              <w:tl2br w:val="nil"/>
              <w:tr2bl w:val="nil"/>
            </w:tcBorders>
            <w:shd w:val="clear" w:color="auto" w:fill="auto"/>
            <w:vAlign w:val="center"/>
          </w:tcPr>
          <w:p w14:paraId="341F0CE7">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FangSong_GB2312" w:cs="Times New Roman"/>
                <w:color w:val="000000"/>
                <w:kern w:val="0"/>
                <w:szCs w:val="21"/>
                <w:lang w:val="en-US" w:bidi="ar"/>
              </w:rPr>
            </w:pPr>
            <w:r>
              <w:rPr>
                <w:rFonts w:hint="default" w:ascii="Times New Roman" w:hAnsi="Times New Roman" w:eastAsia="FangSong_GB2312" w:cs="Times New Roman"/>
                <w:color w:val="000000"/>
                <w:kern w:val="0"/>
                <w:szCs w:val="21"/>
                <w:lang w:eastAsia="zh-CN" w:bidi="ar"/>
              </w:rPr>
              <w:t>凝练团队建设经验和教育教学改革成果，</w:t>
            </w:r>
            <w:r>
              <w:rPr>
                <w:rFonts w:hint="default" w:ascii="Times New Roman" w:hAnsi="Times New Roman" w:eastAsia="FangSong_GB2312" w:cs="Times New Roman"/>
                <w:color w:val="000000"/>
                <w:kern w:val="0"/>
                <w:szCs w:val="21"/>
                <w:lang w:val="en-US" w:eastAsia="zh-CN" w:bidi="ar"/>
              </w:rPr>
              <w:t>产出一批高质量的改革成果</w:t>
            </w:r>
          </w:p>
        </w:tc>
      </w:tr>
      <w:tr w14:paraId="034732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512" w:type="dxa"/>
            <w:vMerge w:val="continue"/>
            <w:tcBorders>
              <w:tl2br w:val="nil"/>
              <w:tr2bl w:val="nil"/>
            </w:tcBorders>
            <w:shd w:val="clear" w:color="auto" w:fill="auto"/>
            <w:noWrap/>
            <w:vAlign w:val="center"/>
          </w:tcPr>
          <w:p w14:paraId="38DE7D42">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bidi="ar"/>
              </w:rPr>
            </w:pPr>
          </w:p>
        </w:tc>
        <w:tc>
          <w:tcPr>
            <w:tcW w:w="1613" w:type="dxa"/>
            <w:vMerge w:val="restart"/>
            <w:tcBorders>
              <w:tl2br w:val="nil"/>
              <w:tr2bl w:val="nil"/>
            </w:tcBorders>
            <w:shd w:val="clear" w:color="auto" w:fill="auto"/>
            <w:noWrap/>
            <w:vAlign w:val="center"/>
          </w:tcPr>
          <w:p w14:paraId="1B15D4C3">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val="en-US" w:eastAsia="zh-CN" w:bidi="ar"/>
              </w:rPr>
              <w:t>B34.推广应用（6分）</w:t>
            </w:r>
          </w:p>
        </w:tc>
        <w:tc>
          <w:tcPr>
            <w:tcW w:w="10831" w:type="dxa"/>
            <w:tcBorders>
              <w:tl2br w:val="nil"/>
              <w:tr2bl w:val="nil"/>
            </w:tcBorders>
            <w:shd w:val="clear" w:color="auto" w:fill="auto"/>
            <w:vAlign w:val="center"/>
          </w:tcPr>
          <w:p w14:paraId="36608CEA">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val="en-US" w:eastAsia="zh-CN" w:bidi="ar"/>
              </w:rPr>
              <w:t>通过论文、论坛、工作坊、培训班等方式，对建设成果进行宣传和推广，</w:t>
            </w:r>
            <w:r>
              <w:rPr>
                <w:rFonts w:hint="default" w:ascii="Times New Roman" w:hAnsi="Times New Roman" w:eastAsia="FangSong_GB2312" w:cs="Times New Roman"/>
                <w:color w:val="000000"/>
                <w:kern w:val="0"/>
                <w:szCs w:val="21"/>
                <w:lang w:eastAsia="zh-CN" w:bidi="ar"/>
              </w:rPr>
              <w:t>提升</w:t>
            </w:r>
            <w:r>
              <w:rPr>
                <w:rFonts w:hint="default" w:ascii="Times New Roman" w:hAnsi="Times New Roman" w:eastAsia="FangSong_GB2312" w:cs="Times New Roman"/>
                <w:color w:val="000000"/>
                <w:kern w:val="0"/>
                <w:szCs w:val="21"/>
                <w:lang w:val="en-US" w:eastAsia="zh-CN" w:bidi="ar"/>
              </w:rPr>
              <w:t>学校的</w:t>
            </w:r>
            <w:r>
              <w:rPr>
                <w:rFonts w:hint="default" w:ascii="Times New Roman" w:hAnsi="Times New Roman" w:eastAsia="FangSong_GB2312" w:cs="Times New Roman"/>
                <w:color w:val="000000"/>
                <w:kern w:val="0"/>
                <w:szCs w:val="21"/>
                <w:lang w:bidi="ar"/>
              </w:rPr>
              <w:t>认可度和影响力</w:t>
            </w:r>
          </w:p>
        </w:tc>
      </w:tr>
      <w:tr w14:paraId="44F6A0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512" w:type="dxa"/>
            <w:vMerge w:val="continue"/>
            <w:tcBorders>
              <w:tl2br w:val="nil"/>
              <w:tr2bl w:val="nil"/>
            </w:tcBorders>
            <w:shd w:val="clear" w:color="auto" w:fill="auto"/>
            <w:noWrap/>
            <w:vAlign w:val="center"/>
          </w:tcPr>
          <w:p w14:paraId="1F181582">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bidi="ar"/>
              </w:rPr>
            </w:pPr>
          </w:p>
        </w:tc>
        <w:tc>
          <w:tcPr>
            <w:tcW w:w="1613" w:type="dxa"/>
            <w:vMerge w:val="continue"/>
            <w:tcBorders>
              <w:tl2br w:val="nil"/>
              <w:tr2bl w:val="nil"/>
            </w:tcBorders>
            <w:shd w:val="clear" w:color="auto" w:fill="auto"/>
            <w:noWrap/>
            <w:vAlign w:val="center"/>
          </w:tcPr>
          <w:p w14:paraId="5575E516">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bidi="ar"/>
              </w:rPr>
            </w:pPr>
          </w:p>
        </w:tc>
        <w:tc>
          <w:tcPr>
            <w:tcW w:w="10831" w:type="dxa"/>
            <w:tcBorders>
              <w:tl2br w:val="nil"/>
              <w:tr2bl w:val="nil"/>
            </w:tcBorders>
            <w:shd w:val="clear" w:color="auto" w:fill="auto"/>
            <w:vAlign w:val="center"/>
          </w:tcPr>
          <w:p w14:paraId="4177D991">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bidi="ar"/>
              </w:rPr>
              <w:t>挖掘先进经验和典型</w:t>
            </w:r>
            <w:r>
              <w:rPr>
                <w:rFonts w:hint="default" w:ascii="Times New Roman" w:hAnsi="Times New Roman" w:eastAsia="FangSong_GB2312" w:cs="Times New Roman"/>
                <w:color w:val="000000"/>
                <w:kern w:val="0"/>
                <w:szCs w:val="21"/>
                <w:lang w:val="en-US" w:eastAsia="zh-CN" w:bidi="ar"/>
              </w:rPr>
              <w:t>做法</w:t>
            </w:r>
            <w:r>
              <w:rPr>
                <w:rFonts w:hint="default" w:ascii="Times New Roman" w:hAnsi="Times New Roman" w:eastAsia="FangSong_GB2312" w:cs="Times New Roman"/>
                <w:color w:val="000000"/>
                <w:kern w:val="0"/>
                <w:szCs w:val="21"/>
                <w:lang w:bidi="ar"/>
              </w:rPr>
              <w:t>，积极在中央和地方主流媒体</w:t>
            </w:r>
            <w:r>
              <w:rPr>
                <w:rFonts w:hint="default" w:ascii="Times New Roman" w:hAnsi="Times New Roman" w:eastAsia="FangSong_GB2312" w:cs="Times New Roman"/>
                <w:color w:val="000000"/>
                <w:kern w:val="0"/>
                <w:szCs w:val="21"/>
                <w:lang w:val="en-US" w:eastAsia="zh-CN" w:bidi="ar"/>
              </w:rPr>
              <w:t>上</w:t>
            </w:r>
            <w:r>
              <w:rPr>
                <w:rFonts w:hint="default" w:ascii="Times New Roman" w:hAnsi="Times New Roman" w:eastAsia="FangSong_GB2312" w:cs="Times New Roman"/>
                <w:color w:val="000000"/>
                <w:kern w:val="0"/>
                <w:szCs w:val="21"/>
                <w:lang w:bidi="ar"/>
              </w:rPr>
              <w:t>宣传推广</w:t>
            </w:r>
          </w:p>
        </w:tc>
      </w:tr>
      <w:tr w14:paraId="753644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512" w:type="dxa"/>
            <w:vMerge w:val="continue"/>
            <w:tcBorders>
              <w:tl2br w:val="nil"/>
              <w:tr2bl w:val="nil"/>
            </w:tcBorders>
            <w:shd w:val="clear" w:color="auto" w:fill="auto"/>
            <w:noWrap/>
            <w:vAlign w:val="center"/>
          </w:tcPr>
          <w:p w14:paraId="7B8E6122">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bidi="ar"/>
              </w:rPr>
            </w:pPr>
          </w:p>
        </w:tc>
        <w:tc>
          <w:tcPr>
            <w:tcW w:w="1613" w:type="dxa"/>
            <w:vMerge w:val="restart"/>
            <w:tcBorders>
              <w:tl2br w:val="nil"/>
              <w:tr2bl w:val="nil"/>
            </w:tcBorders>
            <w:shd w:val="clear" w:color="auto" w:fill="auto"/>
            <w:noWrap/>
            <w:vAlign w:val="center"/>
          </w:tcPr>
          <w:p w14:paraId="276BFEB4">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val="en-US" w:eastAsia="zh-CN" w:bidi="ar"/>
              </w:rPr>
              <w:t>B35.合作交流（4分）</w:t>
            </w:r>
          </w:p>
        </w:tc>
        <w:tc>
          <w:tcPr>
            <w:tcW w:w="10831" w:type="dxa"/>
            <w:tcBorders>
              <w:tl2br w:val="nil"/>
              <w:tr2bl w:val="nil"/>
            </w:tcBorders>
            <w:shd w:val="clear" w:color="auto" w:fill="auto"/>
            <w:vAlign w:val="center"/>
          </w:tcPr>
          <w:p w14:paraId="6B8479C2">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bidi="ar"/>
              </w:rPr>
              <w:t>拓展中外合作交流平台，建立</w:t>
            </w:r>
            <w:r>
              <w:rPr>
                <w:rFonts w:hint="default" w:ascii="Times New Roman" w:hAnsi="Times New Roman" w:eastAsia="FangSong_GB2312" w:cs="Times New Roman"/>
                <w:color w:val="000000"/>
                <w:kern w:val="0"/>
                <w:szCs w:val="21"/>
                <w:lang w:eastAsia="zh-CN" w:bidi="ar"/>
              </w:rPr>
              <w:t>人才培养与</w:t>
            </w:r>
            <w:r>
              <w:rPr>
                <w:rFonts w:hint="default" w:ascii="Times New Roman" w:hAnsi="Times New Roman" w:eastAsia="FangSong_GB2312" w:cs="Times New Roman"/>
                <w:color w:val="000000"/>
                <w:kern w:val="0"/>
                <w:szCs w:val="21"/>
                <w:lang w:bidi="ar"/>
              </w:rPr>
              <w:t>教师出访学习、交流、进修制度，打造职业教育</w:t>
            </w:r>
            <w:r>
              <w:rPr>
                <w:rFonts w:hint="default" w:ascii="Times New Roman" w:hAnsi="Times New Roman" w:eastAsia="FangSong_GB2312" w:cs="Times New Roman"/>
                <w:color w:val="000000"/>
                <w:kern w:val="0"/>
                <w:szCs w:val="21"/>
                <w:lang w:val="en-US" w:eastAsia="zh-CN" w:bidi="ar"/>
              </w:rPr>
              <w:t>国际</w:t>
            </w:r>
            <w:r>
              <w:rPr>
                <w:rFonts w:hint="default" w:ascii="Times New Roman" w:hAnsi="Times New Roman" w:eastAsia="FangSong_GB2312" w:cs="Times New Roman"/>
                <w:color w:val="000000"/>
                <w:kern w:val="0"/>
                <w:szCs w:val="21"/>
                <w:lang w:bidi="ar"/>
              </w:rPr>
              <w:t>合作品牌</w:t>
            </w:r>
          </w:p>
        </w:tc>
      </w:tr>
      <w:tr w14:paraId="7663BF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1512" w:type="dxa"/>
            <w:vMerge w:val="continue"/>
            <w:tcBorders>
              <w:tl2br w:val="nil"/>
              <w:tr2bl w:val="nil"/>
            </w:tcBorders>
            <w:shd w:val="clear" w:color="auto" w:fill="auto"/>
            <w:noWrap/>
            <w:vAlign w:val="center"/>
          </w:tcPr>
          <w:p w14:paraId="0E072027">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bidi="ar"/>
              </w:rPr>
            </w:pPr>
          </w:p>
        </w:tc>
        <w:tc>
          <w:tcPr>
            <w:tcW w:w="1613" w:type="dxa"/>
            <w:vMerge w:val="continue"/>
            <w:tcBorders>
              <w:tl2br w:val="nil"/>
              <w:tr2bl w:val="nil"/>
            </w:tcBorders>
            <w:shd w:val="clear" w:color="auto" w:fill="auto"/>
            <w:noWrap/>
            <w:vAlign w:val="center"/>
          </w:tcPr>
          <w:p w14:paraId="6D6C20B2">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FangSong_GB2312" w:cs="Times New Roman"/>
                <w:color w:val="000000"/>
                <w:kern w:val="0"/>
                <w:szCs w:val="21"/>
                <w:lang w:bidi="ar"/>
              </w:rPr>
            </w:pPr>
          </w:p>
        </w:tc>
        <w:tc>
          <w:tcPr>
            <w:tcW w:w="10831" w:type="dxa"/>
            <w:tcBorders>
              <w:tl2br w:val="nil"/>
              <w:tr2bl w:val="nil"/>
            </w:tcBorders>
            <w:shd w:val="clear" w:color="auto" w:fill="auto"/>
            <w:vAlign w:val="center"/>
          </w:tcPr>
          <w:p w14:paraId="533114A8">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bidi="ar"/>
              </w:rPr>
              <w:t>服务“一带一路”倡议，</w:t>
            </w:r>
            <w:r>
              <w:rPr>
                <w:rFonts w:hint="default" w:ascii="Times New Roman" w:hAnsi="Times New Roman" w:eastAsia="FangSong_GB2312" w:cs="Times New Roman"/>
                <w:color w:val="000000"/>
                <w:kern w:val="0"/>
                <w:szCs w:val="21"/>
                <w:lang w:eastAsia="zh-CN" w:bidi="ar"/>
              </w:rPr>
              <w:t>推动</w:t>
            </w:r>
            <w:r>
              <w:rPr>
                <w:rFonts w:hint="default" w:ascii="Times New Roman" w:hAnsi="Times New Roman" w:eastAsia="FangSong_GB2312" w:cs="Times New Roman"/>
                <w:color w:val="000000"/>
                <w:kern w:val="0"/>
                <w:szCs w:val="21"/>
                <w:lang w:val="en-US" w:eastAsia="zh-CN" w:bidi="ar"/>
              </w:rPr>
              <w:t>重庆</w:t>
            </w:r>
            <w:r>
              <w:rPr>
                <w:rFonts w:hint="default" w:ascii="Times New Roman" w:hAnsi="Times New Roman" w:eastAsia="FangSong_GB2312" w:cs="Times New Roman"/>
                <w:color w:val="000000"/>
                <w:kern w:val="0"/>
                <w:szCs w:val="21"/>
                <w:lang w:bidi="ar"/>
              </w:rPr>
              <w:t>职教</w:t>
            </w:r>
            <w:r>
              <w:rPr>
                <w:rFonts w:hint="default" w:ascii="Times New Roman" w:hAnsi="Times New Roman" w:eastAsia="FangSong_GB2312" w:cs="Times New Roman"/>
                <w:color w:val="000000"/>
                <w:kern w:val="0"/>
                <w:szCs w:val="21"/>
                <w:lang w:eastAsia="zh-CN" w:bidi="ar"/>
              </w:rPr>
              <w:t>出海</w:t>
            </w:r>
            <w:r>
              <w:rPr>
                <w:rFonts w:hint="default" w:ascii="Times New Roman" w:hAnsi="Times New Roman" w:eastAsia="FangSong_GB2312" w:cs="Times New Roman"/>
                <w:color w:val="000000"/>
                <w:kern w:val="0"/>
                <w:szCs w:val="21"/>
                <w:lang w:bidi="ar"/>
              </w:rPr>
              <w:t>，探索职业教育国际合作新路径，加强技能人才培养的国际合作，在标准、教材、设备等方面开展职教出海</w:t>
            </w:r>
          </w:p>
        </w:tc>
      </w:tr>
      <w:tr w14:paraId="4C02B2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13956" w:type="dxa"/>
            <w:gridSpan w:val="3"/>
            <w:tcBorders>
              <w:tl2br w:val="nil"/>
              <w:tr2bl w:val="nil"/>
            </w:tcBorders>
            <w:shd w:val="clear" w:color="auto" w:fill="auto"/>
            <w:noWrap/>
            <w:vAlign w:val="center"/>
          </w:tcPr>
          <w:p w14:paraId="2F83B15E">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val="en-US" w:eastAsia="zh-CN" w:bidi="ar"/>
              </w:rPr>
              <w:t>注：总分200分，得分为120分以下为不合格，120-140分为合格，140-160分为良好，160分以上为优秀。</w:t>
            </w:r>
          </w:p>
        </w:tc>
      </w:tr>
    </w:tbl>
    <w:p w14:paraId="4606DF88">
      <w:pPr>
        <w:widowControl/>
        <w:jc w:val="left"/>
        <w:textAlignment w:val="center"/>
        <w:rPr>
          <w:rFonts w:hint="default" w:ascii="Times New Roman" w:hAnsi="Times New Roman" w:eastAsia="FangSong_GB2312" w:cs="Times New Roman"/>
          <w:color w:val="000000"/>
          <w:kern w:val="0"/>
          <w:szCs w:val="21"/>
          <w:lang w:val="en-US" w:eastAsia="zh-CN" w:bidi="ar"/>
        </w:rPr>
      </w:pPr>
    </w:p>
    <w:p w14:paraId="422760FF">
      <w:pPr>
        <w:pStyle w:val="2"/>
        <w:spacing w:line="360" w:lineRule="auto"/>
        <w:rPr>
          <w:rFonts w:hint="default" w:ascii="Times New Roman" w:hAnsi="Times New Roman" w:eastAsia="方正黑体_GBK" w:cs="Times New Roman"/>
          <w:sz w:val="32"/>
          <w:szCs w:val="32"/>
          <w:lang w:val="en-US" w:eastAsia="zh-CN"/>
        </w:rPr>
        <w:sectPr>
          <w:footerReference r:id="rId3" w:type="default"/>
          <w:footerReference r:id="rId4" w:type="even"/>
          <w:pgSz w:w="16838" w:h="11906" w:orient="landscape"/>
          <w:pgMar w:top="1803" w:right="1440" w:bottom="1803" w:left="1440" w:header="851" w:footer="992" w:gutter="0"/>
          <w:pgBorders>
            <w:top w:val="none" w:sz="0" w:space="0"/>
            <w:left w:val="none" w:sz="0" w:space="0"/>
            <w:bottom w:val="none" w:sz="0" w:space="0"/>
            <w:right w:val="none" w:sz="0" w:space="0"/>
          </w:pgBorders>
          <w:pgNumType w:fmt="numberInDash"/>
          <w:cols w:space="0" w:num="1"/>
          <w:rtlGutter w:val="0"/>
          <w:docGrid w:type="lines" w:linePitch="319" w:charSpace="0"/>
        </w:sectPr>
      </w:pPr>
    </w:p>
    <w:p w14:paraId="15CAA6B4">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FangSong_GB2312">
    <w:altName w:val="仿宋"/>
    <w:panose1 w:val="02010609030101010101"/>
    <w:charset w:val="86"/>
    <w:family w:val="modern"/>
    <w:pitch w:val="default"/>
    <w:sig w:usb0="00000000" w:usb1="00000000"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6E5D9C">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2619E1">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72619E1">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E30923">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2B547F">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62B547F">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4C4AD6"/>
    <w:rsid w:val="00F44889"/>
    <w:rsid w:val="012C4639"/>
    <w:rsid w:val="02344CA9"/>
    <w:rsid w:val="02F3570A"/>
    <w:rsid w:val="02FF11C0"/>
    <w:rsid w:val="046E6B4B"/>
    <w:rsid w:val="05B02D0D"/>
    <w:rsid w:val="07BD1123"/>
    <w:rsid w:val="084C4AD6"/>
    <w:rsid w:val="086C5E40"/>
    <w:rsid w:val="0AC94734"/>
    <w:rsid w:val="0B0B7CEE"/>
    <w:rsid w:val="0E42461A"/>
    <w:rsid w:val="0E91469A"/>
    <w:rsid w:val="0EE14765"/>
    <w:rsid w:val="0F3F7667"/>
    <w:rsid w:val="0F6577D9"/>
    <w:rsid w:val="0FA44136"/>
    <w:rsid w:val="0FEE5619"/>
    <w:rsid w:val="109773F2"/>
    <w:rsid w:val="1289341C"/>
    <w:rsid w:val="14190AD2"/>
    <w:rsid w:val="14466F9D"/>
    <w:rsid w:val="15501924"/>
    <w:rsid w:val="161C0E5E"/>
    <w:rsid w:val="165C7AFF"/>
    <w:rsid w:val="166B53EC"/>
    <w:rsid w:val="16CD2F38"/>
    <w:rsid w:val="17873BBD"/>
    <w:rsid w:val="182E6B68"/>
    <w:rsid w:val="18304DD3"/>
    <w:rsid w:val="1895699B"/>
    <w:rsid w:val="19F30A04"/>
    <w:rsid w:val="1ABA05ED"/>
    <w:rsid w:val="1AFC72BC"/>
    <w:rsid w:val="1B62562C"/>
    <w:rsid w:val="1E085911"/>
    <w:rsid w:val="1EC7530C"/>
    <w:rsid w:val="1EEB162D"/>
    <w:rsid w:val="20757E38"/>
    <w:rsid w:val="21EA4EFA"/>
    <w:rsid w:val="2222365B"/>
    <w:rsid w:val="24FB1DC2"/>
    <w:rsid w:val="257A6B2F"/>
    <w:rsid w:val="258D3B9E"/>
    <w:rsid w:val="275675A5"/>
    <w:rsid w:val="28832735"/>
    <w:rsid w:val="28B2541A"/>
    <w:rsid w:val="2B095359"/>
    <w:rsid w:val="2B460650"/>
    <w:rsid w:val="2B8164E9"/>
    <w:rsid w:val="2BE67E86"/>
    <w:rsid w:val="2C8D25F9"/>
    <w:rsid w:val="2C9B040D"/>
    <w:rsid w:val="2CAA5BAA"/>
    <w:rsid w:val="2D383215"/>
    <w:rsid w:val="2DEB151A"/>
    <w:rsid w:val="2E7241EB"/>
    <w:rsid w:val="2ED54CD6"/>
    <w:rsid w:val="2FD141BC"/>
    <w:rsid w:val="30042AC8"/>
    <w:rsid w:val="31503ABE"/>
    <w:rsid w:val="32EF6914"/>
    <w:rsid w:val="33C6019D"/>
    <w:rsid w:val="34150D81"/>
    <w:rsid w:val="34A34242"/>
    <w:rsid w:val="35125C77"/>
    <w:rsid w:val="36773120"/>
    <w:rsid w:val="36B2629C"/>
    <w:rsid w:val="38247890"/>
    <w:rsid w:val="397F3DF5"/>
    <w:rsid w:val="3CEF5962"/>
    <w:rsid w:val="3D8D23F7"/>
    <w:rsid w:val="3DAA4D22"/>
    <w:rsid w:val="3E725140"/>
    <w:rsid w:val="42A336EA"/>
    <w:rsid w:val="438E1BF9"/>
    <w:rsid w:val="43B555FD"/>
    <w:rsid w:val="43DB0A44"/>
    <w:rsid w:val="43DB124A"/>
    <w:rsid w:val="43DC2D0A"/>
    <w:rsid w:val="444F6DA9"/>
    <w:rsid w:val="457837CB"/>
    <w:rsid w:val="458332D2"/>
    <w:rsid w:val="45893496"/>
    <w:rsid w:val="45C9257D"/>
    <w:rsid w:val="476A02E5"/>
    <w:rsid w:val="48496728"/>
    <w:rsid w:val="48575202"/>
    <w:rsid w:val="48D647E0"/>
    <w:rsid w:val="494203DC"/>
    <w:rsid w:val="49A86280"/>
    <w:rsid w:val="49B44C48"/>
    <w:rsid w:val="4A5D71EC"/>
    <w:rsid w:val="4B264E7E"/>
    <w:rsid w:val="4C2222D9"/>
    <w:rsid w:val="4C2439B6"/>
    <w:rsid w:val="4C247440"/>
    <w:rsid w:val="4C263C1A"/>
    <w:rsid w:val="4C3B5051"/>
    <w:rsid w:val="4DF40E40"/>
    <w:rsid w:val="4EEB251F"/>
    <w:rsid w:val="4F59576E"/>
    <w:rsid w:val="50AE6AAE"/>
    <w:rsid w:val="51842931"/>
    <w:rsid w:val="52392B0B"/>
    <w:rsid w:val="54EF721D"/>
    <w:rsid w:val="573178BC"/>
    <w:rsid w:val="57753D5F"/>
    <w:rsid w:val="582B34A0"/>
    <w:rsid w:val="588230E7"/>
    <w:rsid w:val="58A107A4"/>
    <w:rsid w:val="590103BF"/>
    <w:rsid w:val="599251D8"/>
    <w:rsid w:val="59FA1DEC"/>
    <w:rsid w:val="5B861105"/>
    <w:rsid w:val="5BB22B62"/>
    <w:rsid w:val="5C1D31A5"/>
    <w:rsid w:val="5C2E1D3B"/>
    <w:rsid w:val="5D9D6E7E"/>
    <w:rsid w:val="5DCD21EF"/>
    <w:rsid w:val="5E6C439A"/>
    <w:rsid w:val="5F5B607F"/>
    <w:rsid w:val="5FDD0A26"/>
    <w:rsid w:val="61BD5331"/>
    <w:rsid w:val="6309029F"/>
    <w:rsid w:val="65C61DD6"/>
    <w:rsid w:val="66167AAD"/>
    <w:rsid w:val="67A20C4A"/>
    <w:rsid w:val="67D06E3E"/>
    <w:rsid w:val="681D0264"/>
    <w:rsid w:val="694F5805"/>
    <w:rsid w:val="697D0F07"/>
    <w:rsid w:val="6B3B2453"/>
    <w:rsid w:val="6D110129"/>
    <w:rsid w:val="6DA742FA"/>
    <w:rsid w:val="6DB50101"/>
    <w:rsid w:val="6E304546"/>
    <w:rsid w:val="6EFD25CC"/>
    <w:rsid w:val="6F780C53"/>
    <w:rsid w:val="70030382"/>
    <w:rsid w:val="708D2F57"/>
    <w:rsid w:val="716218D9"/>
    <w:rsid w:val="719D0447"/>
    <w:rsid w:val="730561AE"/>
    <w:rsid w:val="76605354"/>
    <w:rsid w:val="76A7751E"/>
    <w:rsid w:val="777F6BB3"/>
    <w:rsid w:val="77D97DCE"/>
    <w:rsid w:val="785364CC"/>
    <w:rsid w:val="78BB2B0E"/>
    <w:rsid w:val="78FE6971"/>
    <w:rsid w:val="794200D5"/>
    <w:rsid w:val="7A551DE4"/>
    <w:rsid w:val="7BD87028"/>
    <w:rsid w:val="7C124B0B"/>
    <w:rsid w:val="7C7E2FAD"/>
    <w:rsid w:val="7D727231"/>
    <w:rsid w:val="7D7617AB"/>
    <w:rsid w:val="7DD61910"/>
    <w:rsid w:val="7E7963E5"/>
    <w:rsid w:val="7E8D6284"/>
    <w:rsid w:val="7ED176C6"/>
    <w:rsid w:val="7EEB422D"/>
    <w:rsid w:val="7F936F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spacing w:after="120"/>
    </w:p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市直单位</Company>
  <Pages>7</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2025-10-23T06:34:00Z</dcterms:created>
  <dc:creator>周念珠</dc:creator>
  <cp:lastModifiedBy>周念珠</cp:lastModifiedBy>
  <dcterms:modified xsi:type="dcterms:W3CDTF">2025-10-23T06:34:41Z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E4B2342C519C429C87F19C4DE6E32925_11</vt:lpwstr>
  </property>
  <property fmtid="{D5CDD505-2E9C-101B-9397-08002B2CF9AE}" pid="4" name="KSOTemplateDocerSaveRecord">
    <vt:lpwstr>eyJoZGlkIjoiMDNmZmYyZjE2ODU0MWE2NzBlZGViOTA3OGM3M2Q3ZDgiLCJ1c2VySWQiOiIxNjY2MjU2MDk0In0=</vt:lpwstr>
  </property>
</Properties>
</file>