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1062D">
      <w:pPr>
        <w:pStyle w:val="2"/>
        <w:spacing w:line="360" w:lineRule="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附件2-1</w:t>
      </w:r>
    </w:p>
    <w:p w14:paraId="0D2AE68E">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方正黑体_GBK" w:cs="Times New Roman"/>
          <w:sz w:val="32"/>
          <w:szCs w:val="32"/>
          <w:lang w:val="en-US" w:eastAsia="zh-CN"/>
        </w:rPr>
      </w:pPr>
    </w:p>
    <w:p w14:paraId="3F4DD714">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方正小标宋_GBK" w:cs="Times New Roman"/>
          <w:spacing w:val="0"/>
          <w:kern w:val="2"/>
          <w:sz w:val="44"/>
          <w:szCs w:val="44"/>
          <w:lang w:val="en-US" w:eastAsia="zh-CN" w:bidi="ar-SA"/>
        </w:rPr>
      </w:pPr>
      <w:r>
        <w:rPr>
          <w:rFonts w:hint="default" w:ascii="Times New Roman" w:hAnsi="Times New Roman" w:eastAsia="方正小标宋_GBK" w:cs="Times New Roman"/>
          <w:spacing w:val="0"/>
          <w:kern w:val="2"/>
          <w:sz w:val="44"/>
          <w:szCs w:val="44"/>
          <w:lang w:val="en-US" w:eastAsia="zh-CN" w:bidi="ar-SA"/>
        </w:rPr>
        <w:t>重庆市第三批中等职业学校教师教学创新团队建设质量考核指标</w:t>
      </w:r>
    </w:p>
    <w:tbl>
      <w:tblPr>
        <w:tblStyle w:val="4"/>
        <w:tblW w:w="14639" w:type="dxa"/>
        <w:jc w:val="center"/>
        <w:tblLayout w:type="fixed"/>
        <w:tblCellMar>
          <w:top w:w="0" w:type="dxa"/>
          <w:left w:w="108" w:type="dxa"/>
          <w:bottom w:w="0" w:type="dxa"/>
          <w:right w:w="108" w:type="dxa"/>
        </w:tblCellMar>
      </w:tblPr>
      <w:tblGrid>
        <w:gridCol w:w="1224"/>
        <w:gridCol w:w="1948"/>
        <w:gridCol w:w="11467"/>
      </w:tblGrid>
      <w:tr w14:paraId="762C0E82">
        <w:tblPrEx>
          <w:tblCellMar>
            <w:top w:w="0" w:type="dxa"/>
            <w:left w:w="108" w:type="dxa"/>
            <w:bottom w:w="0" w:type="dxa"/>
            <w:right w:w="108" w:type="dxa"/>
          </w:tblCellMar>
        </w:tblPrEx>
        <w:trPr>
          <w:trHeight w:val="90" w:hRule="atLeast"/>
          <w:tblHeader/>
          <w:jc w:val="center"/>
        </w:trPr>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0A81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b w:val="0"/>
                <w:bCs w:val="0"/>
                <w:color w:val="000000"/>
                <w:kern w:val="0"/>
                <w:szCs w:val="21"/>
                <w:lang w:bidi="ar"/>
              </w:rPr>
            </w:pPr>
            <w:r>
              <w:rPr>
                <w:rFonts w:hint="default" w:ascii="Times New Roman" w:hAnsi="Times New Roman" w:eastAsia="方正黑体_GBK" w:cs="Times New Roman"/>
                <w:b w:val="0"/>
                <w:bCs w:val="0"/>
                <w:color w:val="000000"/>
                <w:kern w:val="0"/>
                <w:szCs w:val="21"/>
                <w:lang w:bidi="ar"/>
              </w:rPr>
              <w:t>一级指标</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309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黑体_GBK" w:cs="Times New Roman"/>
                <w:b w:val="0"/>
                <w:bCs w:val="0"/>
                <w:color w:val="000000"/>
                <w:kern w:val="0"/>
                <w:szCs w:val="21"/>
                <w:lang w:bidi="ar"/>
              </w:rPr>
            </w:pPr>
            <w:r>
              <w:rPr>
                <w:rFonts w:hint="default" w:ascii="Times New Roman" w:hAnsi="Times New Roman" w:eastAsia="方正黑体_GBK" w:cs="Times New Roman"/>
                <w:b w:val="0"/>
                <w:bCs w:val="0"/>
                <w:color w:val="000000"/>
                <w:kern w:val="0"/>
                <w:szCs w:val="21"/>
                <w:lang w:bidi="ar"/>
              </w:rPr>
              <w:t>二级指标</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63E">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hint="default" w:ascii="Times New Roman" w:hAnsi="Times New Roman" w:eastAsia="方正黑体_GBK" w:cs="Times New Roman"/>
                <w:b w:val="0"/>
                <w:bCs w:val="0"/>
                <w:color w:val="000000"/>
                <w:kern w:val="0"/>
                <w:szCs w:val="21"/>
                <w:lang w:bidi="ar"/>
              </w:rPr>
            </w:pPr>
            <w:r>
              <w:rPr>
                <w:rFonts w:hint="default" w:ascii="Times New Roman" w:hAnsi="Times New Roman" w:eastAsia="方正黑体_GBK" w:cs="Times New Roman"/>
                <w:b w:val="0"/>
                <w:bCs w:val="0"/>
                <w:color w:val="000000"/>
                <w:kern w:val="0"/>
                <w:szCs w:val="21"/>
                <w:lang w:bidi="ar"/>
              </w:rPr>
              <w:t>基本要求</w:t>
            </w:r>
          </w:p>
        </w:tc>
      </w:tr>
      <w:tr w14:paraId="387CC93A">
        <w:tblPrEx>
          <w:tblCellMar>
            <w:top w:w="0" w:type="dxa"/>
            <w:left w:w="108" w:type="dxa"/>
            <w:bottom w:w="0" w:type="dxa"/>
            <w:right w:w="108" w:type="dxa"/>
          </w:tblCellMar>
        </w:tblPrEx>
        <w:trPr>
          <w:trHeight w:val="23" w:hRule="atLeast"/>
          <w:jc w:val="center"/>
        </w:trPr>
        <w:tc>
          <w:tcPr>
            <w:tcW w:w="1224" w:type="dxa"/>
            <w:vMerge w:val="restart"/>
            <w:tcBorders>
              <w:top w:val="single" w:color="000000" w:sz="4" w:space="0"/>
              <w:left w:val="single" w:color="000000" w:sz="4" w:space="0"/>
              <w:right w:val="single" w:color="000000" w:sz="4" w:space="0"/>
            </w:tcBorders>
            <w:shd w:val="clear" w:color="auto" w:fill="auto"/>
            <w:vAlign w:val="center"/>
          </w:tcPr>
          <w:p w14:paraId="72E2FA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A1.学校</w:t>
            </w:r>
          </w:p>
          <w:p w14:paraId="11EA95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管理（20')</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9DB8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B1.高度重视（6')</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007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加强党对教师队伍建设的全面领导，列为一把手工程，学校主要负责人牵头成立工作专班，明确分管领导</w:t>
            </w:r>
          </w:p>
        </w:tc>
      </w:tr>
      <w:tr w14:paraId="10696719">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4DE0099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E8B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47C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学校把团队建设工作纳入学校教师队伍建设发展规划和年度重点工作，定期研究团队建设工作</w:t>
            </w:r>
          </w:p>
        </w:tc>
      </w:tr>
      <w:tr w14:paraId="661F26A0">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22A4AD8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C27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8DB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学校合理确定团队建设负责部门，明确职责任务，积极推进团队建设</w:t>
            </w:r>
          </w:p>
        </w:tc>
      </w:tr>
      <w:tr w14:paraId="5B1EBDE6">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7C4B891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519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4570">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学校积极开展各级团队建设，多层次团队统筹管理、同频共振</w:t>
            </w:r>
          </w:p>
        </w:tc>
      </w:tr>
      <w:tr w14:paraId="03C49625">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732177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11C3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B2.制度保障（4')</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B20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学校制定团队教师学历提升、境内外访学研修、企业实践、课题研究、职称晋升等支持政策</w:t>
            </w:r>
          </w:p>
        </w:tc>
      </w:tr>
      <w:tr w14:paraId="03069956">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706FCC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2671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022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学校制定出台团队建设总体方案，思路清晰，定位精准，目标科学，相关制度配套完善</w:t>
            </w:r>
          </w:p>
        </w:tc>
      </w:tr>
      <w:tr w14:paraId="506FB0AD">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7C9D70F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AB3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B3.经费支持（4')</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8FF3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建设周期有持续的专项经费支持，创新团队建设经费纳入年度预算</w:t>
            </w:r>
          </w:p>
        </w:tc>
      </w:tr>
      <w:tr w14:paraId="31E558C9">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5648FB6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B79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089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学校鼓励创新团队通过校企合作、申报课题、社会服务等多种途径积极筹措发展资金</w:t>
            </w:r>
          </w:p>
        </w:tc>
      </w:tr>
      <w:tr w14:paraId="03E9DA0D">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7B80A5A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right w:val="single" w:color="000000" w:sz="4" w:space="0"/>
            </w:tcBorders>
            <w:shd w:val="clear" w:color="auto" w:fill="auto"/>
            <w:vAlign w:val="center"/>
          </w:tcPr>
          <w:p w14:paraId="6022D36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B4.过程管理（6')</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F98C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学校制定出台团队建设管理办法，严格日常监管</w:t>
            </w:r>
          </w:p>
        </w:tc>
      </w:tr>
      <w:tr w14:paraId="260FC852">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04F1DC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left w:val="single" w:color="000000" w:sz="4" w:space="0"/>
              <w:right w:val="single" w:color="000000" w:sz="4" w:space="0"/>
            </w:tcBorders>
            <w:shd w:val="clear" w:color="auto" w:fill="auto"/>
            <w:vAlign w:val="center"/>
          </w:tcPr>
          <w:p w14:paraId="6B6EA63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93C6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学校制定团队评价指标，定期对团队建设情况进行指导诊断、评估，评价结果在绩效考核、评先评优等工作中有所反馈</w:t>
            </w:r>
          </w:p>
        </w:tc>
      </w:tr>
      <w:tr w14:paraId="166EB3E6">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right w:val="single" w:color="000000" w:sz="4" w:space="0"/>
            </w:tcBorders>
            <w:shd w:val="clear" w:color="auto" w:fill="auto"/>
            <w:vAlign w:val="center"/>
          </w:tcPr>
          <w:p w14:paraId="2B426C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left w:val="single" w:color="000000" w:sz="4" w:space="0"/>
              <w:right w:val="single" w:color="000000" w:sz="4" w:space="0"/>
            </w:tcBorders>
            <w:shd w:val="clear" w:color="auto" w:fill="auto"/>
            <w:vAlign w:val="center"/>
          </w:tcPr>
          <w:p w14:paraId="55F8C7E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76C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学校加强团队建设经费管理，严格履行预决算制度和程序，经费支出执行相关财务规定，标准合规、程序规范、票据齐全</w:t>
            </w:r>
          </w:p>
        </w:tc>
      </w:tr>
      <w:tr w14:paraId="6879AB14">
        <w:tblPrEx>
          <w:tblCellMar>
            <w:top w:w="0" w:type="dxa"/>
            <w:left w:w="108" w:type="dxa"/>
            <w:bottom w:w="0" w:type="dxa"/>
            <w:right w:w="108" w:type="dxa"/>
          </w:tblCellMar>
        </w:tblPrEx>
        <w:trPr>
          <w:trHeight w:val="23" w:hRule="atLeast"/>
          <w:jc w:val="center"/>
        </w:trPr>
        <w:tc>
          <w:tcPr>
            <w:tcW w:w="1224" w:type="dxa"/>
            <w:vMerge w:val="continue"/>
            <w:tcBorders>
              <w:left w:val="single" w:color="000000" w:sz="4" w:space="0"/>
              <w:bottom w:val="single" w:color="000000" w:sz="4" w:space="0"/>
              <w:right w:val="single" w:color="000000" w:sz="4" w:space="0"/>
            </w:tcBorders>
            <w:shd w:val="clear" w:color="auto" w:fill="auto"/>
            <w:vAlign w:val="center"/>
          </w:tcPr>
          <w:p w14:paraId="679AA7D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left w:val="single" w:color="000000" w:sz="4" w:space="0"/>
              <w:bottom w:val="single" w:color="000000" w:sz="4" w:space="0"/>
              <w:right w:val="single" w:color="000000" w:sz="4" w:space="0"/>
            </w:tcBorders>
            <w:shd w:val="clear" w:color="auto" w:fill="auto"/>
            <w:vAlign w:val="center"/>
          </w:tcPr>
          <w:p w14:paraId="21CEB85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4CF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学校及时报送团队建设工作月报、年度工作报告、研修安排表、过程管理资料、中期及终期工作总结、绩效报告、典型案例等相关资料</w:t>
            </w:r>
          </w:p>
        </w:tc>
      </w:tr>
      <w:tr w14:paraId="309A471D">
        <w:tblPrEx>
          <w:tblCellMar>
            <w:top w:w="0" w:type="dxa"/>
            <w:left w:w="108" w:type="dxa"/>
            <w:bottom w:w="0" w:type="dxa"/>
            <w:right w:w="108" w:type="dxa"/>
          </w:tblCellMar>
        </w:tblPrEx>
        <w:trPr>
          <w:trHeight w:val="23"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4A0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A2.团队</w:t>
            </w:r>
          </w:p>
          <w:p w14:paraId="3DEBAB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建设（30')</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1DCC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B5.目标规划（4')</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464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围绕团队建设总体方案，细化制定团队具体实施计划，做到内容衔接配套，举措可操作、可落地，效果可评估</w:t>
            </w:r>
          </w:p>
        </w:tc>
      </w:tr>
      <w:tr w14:paraId="783DDD27">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50C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501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09C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团队围绕具体实施计划，按年度制定工作计划，明确年度目标任务、责任分工、实施路径和绩效考核</w:t>
            </w:r>
          </w:p>
        </w:tc>
      </w:tr>
      <w:tr w14:paraId="3F6A4515">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D07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AD74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B6.师德师风（6')</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503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加强师德师风建设，大力弘扬教育家精神、职业精神、工匠精神</w:t>
            </w:r>
          </w:p>
        </w:tc>
      </w:tr>
      <w:tr w14:paraId="31588318">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FF58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B7CB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D4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把师德师风作为团队成员评价的第一标准，形成师德师风建设的长效机制</w:t>
            </w:r>
          </w:p>
        </w:tc>
      </w:tr>
      <w:tr w14:paraId="06758AAC">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66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6976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F06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团队负责人及成员师德师风良好，无违规违纪违反师德师风等情况</w:t>
            </w:r>
          </w:p>
        </w:tc>
      </w:tr>
      <w:tr w14:paraId="1185A942">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F3A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3D35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B7.团队结构稳定优化（4')</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3870D">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团队成员专业结构、职称结构和年龄结构合理，优势互补</w:t>
            </w:r>
          </w:p>
        </w:tc>
      </w:tr>
      <w:tr w14:paraId="69C0C329">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0CA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558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E4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团队突出双师结构，专任教师和企业兼职人员分工明确、责任到人</w:t>
            </w:r>
          </w:p>
        </w:tc>
      </w:tr>
      <w:tr w14:paraId="0287F84C">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B0BB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186B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4BC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成员相对稳定，建设期内人员调整比例不超过30%</w:t>
            </w:r>
          </w:p>
        </w:tc>
      </w:tr>
      <w:tr w14:paraId="4685922F">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994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1C99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B8.团队负责人能力提升和作用</w:t>
            </w:r>
          </w:p>
          <w:p w14:paraId="728B897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发挥（5')</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FD29">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团队负责人领导力显著，能够积极发挥带头作用</w:t>
            </w:r>
          </w:p>
        </w:tc>
      </w:tr>
      <w:tr w14:paraId="57569097">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9DB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0E82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D9B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团队负责人能力提升措施得当、成效明显</w:t>
            </w:r>
          </w:p>
        </w:tc>
      </w:tr>
      <w:tr w14:paraId="345D3F45">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EBF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FD1F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1F6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无特殊情况不得更换团队负责人</w:t>
            </w:r>
          </w:p>
        </w:tc>
      </w:tr>
      <w:tr w14:paraId="1CB4C1FD">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253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098FE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B9.建设范式（6')</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B3E0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创新团队建设方法路径，建有完善的运行机制，形成本团队建设模式</w:t>
            </w:r>
          </w:p>
        </w:tc>
      </w:tr>
      <w:tr w14:paraId="4ED3C3C8">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899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6934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229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对本团队建设模式进行提炼，形成可推广、可复制、有创新的团队建设范式和典型案例</w:t>
            </w:r>
          </w:p>
        </w:tc>
      </w:tr>
      <w:tr w14:paraId="11EADA38">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8421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61F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B10.过程管理（5')</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337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制定团队建设管理细则，加强团队运行管理，实现团队管理数字化、全程化、立体化</w:t>
            </w:r>
          </w:p>
        </w:tc>
      </w:tr>
      <w:tr w14:paraId="7E9FC398">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7D38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23F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903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建立团队建设方案、组织结构等优化调整机制，实现团队建设可持续发展</w:t>
            </w:r>
          </w:p>
        </w:tc>
      </w:tr>
      <w:tr w14:paraId="269067A5">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E9153">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D8B6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4E5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运用信息化手段提高团队管理效能，实现数据输入、进程管理、资源共享、数据生成、绩效评价等各个环节全覆盖</w:t>
            </w:r>
          </w:p>
        </w:tc>
      </w:tr>
      <w:tr w14:paraId="2ADC0BC4">
        <w:tblPrEx>
          <w:tblCellMar>
            <w:top w:w="0" w:type="dxa"/>
            <w:left w:w="108" w:type="dxa"/>
            <w:bottom w:w="0" w:type="dxa"/>
            <w:right w:w="108" w:type="dxa"/>
          </w:tblCellMar>
        </w:tblPrEx>
        <w:trPr>
          <w:trHeight w:val="23"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93C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A3.教师</w:t>
            </w:r>
          </w:p>
          <w:p w14:paraId="242FD80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能力提</w:t>
            </w:r>
            <w:r>
              <w:rPr>
                <w:rFonts w:hint="default" w:ascii="Times New Roman" w:hAnsi="Times New Roman" w:eastAsia="FangSong_GB2312" w:cs="Times New Roman"/>
                <w:color w:val="000000"/>
                <w:kern w:val="0"/>
                <w:szCs w:val="21"/>
                <w:lang w:eastAsia="zh-CN" w:bidi="ar"/>
              </w:rPr>
              <w:t>升</w:t>
            </w:r>
            <w:r>
              <w:rPr>
                <w:rFonts w:hint="default" w:ascii="Times New Roman" w:hAnsi="Times New Roman" w:eastAsia="FangSong_GB2312" w:cs="Times New Roman"/>
                <w:color w:val="000000"/>
                <w:kern w:val="0"/>
                <w:szCs w:val="21"/>
                <w:lang w:bidi="ar"/>
              </w:rPr>
              <w:t>（40')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A18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B11.提升规划（10')</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0F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制定科学合理的团队成员整体能力提升方案和有针对性的个人发展计划，明确标准要求和考核评价体系</w:t>
            </w:r>
          </w:p>
        </w:tc>
      </w:tr>
      <w:tr w14:paraId="7B174B8A">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B8A4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237F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B12.发展平台（10')</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21A4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搭建多种类型教师研修平台，设立相关研修项目，调动团队成员积极参与</w:t>
            </w:r>
          </w:p>
        </w:tc>
      </w:tr>
      <w:tr w14:paraId="08A7566C">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DDC1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BEB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15A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借助政府、行业企业、民间组织等优质资源，拓宽教师成长通道</w:t>
            </w:r>
          </w:p>
        </w:tc>
      </w:tr>
      <w:tr w14:paraId="649850C6">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E144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CCDA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3F1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与企业深度合作，建立教师实践基地等，助力团队成员双师素质提升</w:t>
            </w:r>
          </w:p>
        </w:tc>
      </w:tr>
      <w:tr w14:paraId="5F29E490">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7FE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6723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B13.方法举措及</w:t>
            </w:r>
          </w:p>
          <w:p w14:paraId="37950AF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成效（20')</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103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积极开展教师能力建设，方法得当、形式多样</w:t>
            </w:r>
          </w:p>
        </w:tc>
      </w:tr>
      <w:tr w14:paraId="07C16A91">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C61A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304F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855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定期对教师能力和专业水平开展评价，适时优化调整建设举措和个人成长计划</w:t>
            </w:r>
          </w:p>
        </w:tc>
      </w:tr>
      <w:tr w14:paraId="4DC6E984">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6F61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122D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0F6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教师能力提升效果明显，团队成员取得一定成果，在个人成长和荣誉获得等方面取得一定成绩；每位成员提交一节优质教学设计方案、课件、微课及课堂实录（调整人员成果认定为在团队期间所取得的成果，进入前和退出后的成果不计入）</w:t>
            </w:r>
          </w:p>
        </w:tc>
      </w:tr>
      <w:tr w14:paraId="6CB05145">
        <w:tblPrEx>
          <w:tblCellMar>
            <w:top w:w="0" w:type="dxa"/>
            <w:left w:w="108" w:type="dxa"/>
            <w:bottom w:w="0" w:type="dxa"/>
            <w:right w:w="108" w:type="dxa"/>
          </w:tblCellMar>
        </w:tblPrEx>
        <w:trPr>
          <w:trHeight w:val="23"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39A5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A4.团队协作（20')</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485F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B14.协同机制（7')</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F3D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加强校校协同、校企协同机制研究，探索建立协同运行模式</w:t>
            </w:r>
          </w:p>
        </w:tc>
      </w:tr>
      <w:tr w14:paraId="5B129450">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B557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D9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EFB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积极参与共同体、协作体和联盟等，拓宽合作交流渠道，自觉承担相应职责、履行相关义务</w:t>
            </w:r>
          </w:p>
        </w:tc>
      </w:tr>
      <w:tr w14:paraId="0169106D">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CA7F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0B46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B15.校校协同（7')</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2EEF">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团队在共同体框架下，围绕资源共享、师资培养培训、课题研究、协同创新以及教学改革等方面展开深度合作</w:t>
            </w:r>
          </w:p>
        </w:tc>
      </w:tr>
      <w:tr w14:paraId="2CC9035F">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A942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C523C">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CDD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市级团队示范引领和辐射带动作用明显，促进各级团队组网融通、资源共建共享</w:t>
            </w:r>
          </w:p>
        </w:tc>
      </w:tr>
      <w:tr w14:paraId="4FC3E320">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4D46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C205D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B16.校企协同（6')</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7A2D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企业深度参与团队建设，能够为团队教师提供实践岗位，支持团队教师双师素质提升和专业发展</w:t>
            </w:r>
          </w:p>
        </w:tc>
      </w:tr>
      <w:tr w14:paraId="5547B782">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474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F9AFE">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77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团队与合作企业，实现学校资源和企业资源优势互补、共建共享共用</w:t>
            </w:r>
          </w:p>
        </w:tc>
      </w:tr>
      <w:tr w14:paraId="46B0E697">
        <w:tblPrEx>
          <w:tblCellMar>
            <w:top w:w="0" w:type="dxa"/>
            <w:left w:w="108" w:type="dxa"/>
            <w:bottom w:w="0" w:type="dxa"/>
            <w:right w:w="108" w:type="dxa"/>
          </w:tblCellMar>
        </w:tblPrEx>
        <w:trPr>
          <w:trHeight w:val="23"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4465B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A5.课程</w:t>
            </w:r>
          </w:p>
          <w:p w14:paraId="7846DE7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建设（30')</w:t>
            </w:r>
          </w:p>
        </w:tc>
        <w:tc>
          <w:tcPr>
            <w:tcW w:w="1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AC46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B17.课程体系（11')</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686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开展行业企业调研，了解岗位需求和用人标准，明晰专业定位和人才培养规格，重构课程体系，修订人才培养方案</w:t>
            </w:r>
          </w:p>
        </w:tc>
      </w:tr>
      <w:tr w14:paraId="689DBEF1">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0BB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A8BF0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B18.课程标准（11')</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4069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按照真实工作岗位和典型工作任务需要的知识和技能制定课程标准，把职业技能等级标准、技能大赛评判标准以及行业企业新技术、新工艺、新规范和企业优质培训课程等资源融入专业课程</w:t>
            </w:r>
          </w:p>
        </w:tc>
      </w:tr>
      <w:tr w14:paraId="2DF7177A">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2C54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FCB7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6356">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研究制定模块化课程设置方案，按照人才培养目标，结合职业岗位（群）能力要求，开发和完善教学实施方案</w:t>
            </w:r>
          </w:p>
        </w:tc>
      </w:tr>
      <w:tr w14:paraId="456F0ECB">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BC8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19F30">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B19.课程资源（8')</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FD91">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搭建课程平台，建设智能化教学支持环境下的课程资源</w:t>
            </w:r>
          </w:p>
        </w:tc>
      </w:tr>
      <w:tr w14:paraId="04E602FE">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2E3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C07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7B524">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校企双元开发相匹配的优质教材</w:t>
            </w:r>
          </w:p>
        </w:tc>
      </w:tr>
      <w:tr w14:paraId="1ADD46AB">
        <w:tblPrEx>
          <w:tblCellMar>
            <w:top w:w="0" w:type="dxa"/>
            <w:left w:w="108" w:type="dxa"/>
            <w:bottom w:w="0" w:type="dxa"/>
            <w:right w:w="108" w:type="dxa"/>
          </w:tblCellMar>
        </w:tblPrEx>
        <w:trPr>
          <w:trHeight w:val="23"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F99D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A6.模块化教学实施（40')</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45565">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B20.教学组织（18')</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76F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灵活运用行动导向教学、项目式教学、情境式教学等教学方法，重构教学流程，开展分工协作的模块化教学</w:t>
            </w:r>
          </w:p>
        </w:tc>
      </w:tr>
      <w:tr w14:paraId="6E94D871">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D150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C4842">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397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注重适用人工智能、大数据、虚拟现实等新技术丰富教学手段</w:t>
            </w:r>
          </w:p>
        </w:tc>
      </w:tr>
      <w:tr w14:paraId="4A383681">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0CB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DE1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837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建立课程建设诊断与改进机制，不断迭代升级课堂教学</w:t>
            </w:r>
          </w:p>
        </w:tc>
      </w:tr>
      <w:tr w14:paraId="1B364ACB">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438D1">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B906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B21.教学评价（10')</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107">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建立模块化教学评价指标体系，形成多元教学评价方式</w:t>
            </w:r>
          </w:p>
        </w:tc>
      </w:tr>
      <w:tr w14:paraId="3395DA8A">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C6BC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1625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F7D8">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信息化平台和数字化教学评价手段在模块化教学实施过程中有效应用</w:t>
            </w:r>
          </w:p>
        </w:tc>
      </w:tr>
      <w:tr w14:paraId="4AC09F0D">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2DAA">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A2164">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B22.教学成效（12')</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F7C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教学方法改革成效明显，人才培养质量有所提升</w:t>
            </w:r>
          </w:p>
        </w:tc>
      </w:tr>
      <w:tr w14:paraId="1030406D">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1D0CB">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92D27">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74C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形成教研论文、优质教材、精品课程等教学成果</w:t>
            </w:r>
          </w:p>
        </w:tc>
      </w:tr>
      <w:tr w14:paraId="754A0B90">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10AA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37B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B25B">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不断总结教学改革的有益做法，形成可复制、可推广的典型案例</w:t>
            </w:r>
          </w:p>
        </w:tc>
      </w:tr>
      <w:tr w14:paraId="05028F08">
        <w:tblPrEx>
          <w:tblCellMar>
            <w:top w:w="0" w:type="dxa"/>
            <w:left w:w="108" w:type="dxa"/>
            <w:bottom w:w="0" w:type="dxa"/>
            <w:right w:w="108" w:type="dxa"/>
          </w:tblCellMar>
        </w:tblPrEx>
        <w:trPr>
          <w:trHeight w:val="23" w:hRule="atLeast"/>
          <w:jc w:val="center"/>
        </w:trPr>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AE10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A7.特色创新及成果推广（20')</w:t>
            </w: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F45626">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B23.团队建设</w:t>
            </w:r>
          </w:p>
          <w:p w14:paraId="601E06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成果（10')</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0EAC">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总结、凝练团队建设经验和教育教学改革创新成果</w:t>
            </w:r>
          </w:p>
        </w:tc>
      </w:tr>
      <w:tr w14:paraId="4398A8CE">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473A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3D00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BAD3">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示范引领学校“双师型”教师队伍和双师结构团队建设，积极向其他职业院校推广应用</w:t>
            </w:r>
          </w:p>
        </w:tc>
      </w:tr>
      <w:tr w14:paraId="6728EF62">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9333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BF84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B24.成果宣传</w:t>
            </w:r>
          </w:p>
          <w:p w14:paraId="654BCA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推广（5')</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41C2">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通过学术论文、会议论坛、专题培训等方式系统地对团队建设及其教学创新成果进行宣传和推广</w:t>
            </w:r>
          </w:p>
        </w:tc>
      </w:tr>
      <w:tr w14:paraId="7591B6DB">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0FF9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F45BD">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E535">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深入挖掘先进经验和典型案例，积极在主流媒体宣传推广</w:t>
            </w:r>
          </w:p>
        </w:tc>
      </w:tr>
      <w:tr w14:paraId="10467BE5">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2C58">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p>
        </w:tc>
        <w:tc>
          <w:tcPr>
            <w:tcW w:w="19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8872F">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B25.国际交流与</w:t>
            </w:r>
          </w:p>
          <w:p w14:paraId="02256849">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合作（5')</w:t>
            </w: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6C3A">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学习世界职业教育先进经验并进行本土化转化应用，拓宽团队教师的国际化视野</w:t>
            </w:r>
          </w:p>
        </w:tc>
      </w:tr>
      <w:tr w14:paraId="1763E7EA">
        <w:tblPrEx>
          <w:tblCellMar>
            <w:top w:w="0" w:type="dxa"/>
            <w:left w:w="108" w:type="dxa"/>
            <w:bottom w:w="0" w:type="dxa"/>
            <w:right w:w="108" w:type="dxa"/>
          </w:tblCellMar>
        </w:tblPrEx>
        <w:trPr>
          <w:trHeight w:val="23" w:hRule="atLeast"/>
          <w:jc w:val="center"/>
        </w:trPr>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2B0E">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color w:val="000000"/>
                <w:szCs w:val="21"/>
              </w:rPr>
            </w:pPr>
          </w:p>
        </w:tc>
        <w:tc>
          <w:tcPr>
            <w:tcW w:w="19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29EE8">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黑体" w:cs="Times New Roman"/>
                <w:color w:val="000000"/>
                <w:szCs w:val="21"/>
              </w:rPr>
            </w:pPr>
          </w:p>
        </w:tc>
        <w:tc>
          <w:tcPr>
            <w:tcW w:w="11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ED83E">
            <w:pPr>
              <w:keepNext w:val="0"/>
              <w:keepLines w:val="0"/>
              <w:pageBreakBefore w:val="0"/>
              <w:widowControl/>
              <w:kinsoku/>
              <w:wordWrap/>
              <w:overflowPunct/>
              <w:topLinePunct w:val="0"/>
              <w:autoSpaceDE/>
              <w:autoSpaceDN/>
              <w:bidi w:val="0"/>
              <w:adjustRightInd/>
              <w:snapToGrid/>
              <w:spacing w:line="46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服务国家“一带一路”倡议，加强技术技能人才培养的国际合作，形成职业教育国际合作新范式，提升我国职业教育的国际影响力和竞争力</w:t>
            </w:r>
          </w:p>
        </w:tc>
      </w:tr>
      <w:tr w14:paraId="3C624E8D">
        <w:tblPrEx>
          <w:tblCellMar>
            <w:top w:w="0" w:type="dxa"/>
            <w:left w:w="108" w:type="dxa"/>
            <w:bottom w:w="0" w:type="dxa"/>
            <w:right w:w="108" w:type="dxa"/>
          </w:tblCellMar>
        </w:tblPrEx>
        <w:trPr>
          <w:trHeight w:val="23" w:hRule="atLeast"/>
          <w:jc w:val="center"/>
        </w:trPr>
        <w:tc>
          <w:tcPr>
            <w:tcW w:w="146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CB3F7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default" w:ascii="Times New Roman" w:hAnsi="Times New Roman" w:eastAsia="FangSong_GB2312" w:cs="Times New Roman"/>
                <w:color w:val="000000"/>
                <w:kern w:val="0"/>
                <w:szCs w:val="21"/>
                <w:lang w:bidi="ar"/>
              </w:rPr>
            </w:pPr>
            <w:r>
              <w:rPr>
                <w:rFonts w:hint="default" w:ascii="Times New Roman" w:hAnsi="Times New Roman" w:eastAsia="FangSong_GB2312" w:cs="Times New Roman"/>
                <w:color w:val="000000"/>
                <w:kern w:val="0"/>
                <w:szCs w:val="21"/>
                <w:lang w:bidi="ar"/>
              </w:rPr>
              <w:t>注：总分200分，得分为120分以下为不合格，120-140分为合格，140-160分为良好，160分以上为优秀。</w:t>
            </w:r>
          </w:p>
        </w:tc>
      </w:tr>
    </w:tbl>
    <w:p w14:paraId="171B5C15">
      <w:pPr>
        <w:pStyle w:val="2"/>
        <w:spacing w:line="360" w:lineRule="auto"/>
        <w:jc w:val="both"/>
        <w:rPr>
          <w:rFonts w:hint="default" w:ascii="Times New Roman" w:hAnsi="Times New Roman" w:eastAsia="方正仿宋_GBK" w:cs="Times New Roman"/>
          <w:sz w:val="28"/>
          <w:szCs w:val="28"/>
          <w:highlight w:val="red"/>
          <w:lang w:val="en-US" w:eastAsia="zh-CN"/>
        </w:rPr>
      </w:pPr>
    </w:p>
    <w:p w14:paraId="3F3D1AAD">
      <w:pPr>
        <w:pStyle w:val="2"/>
        <w:spacing w:line="360" w:lineRule="auto"/>
        <w:jc w:val="center"/>
        <w:rPr>
          <w:rFonts w:hint="default" w:ascii="Times New Roman" w:hAnsi="Times New Roman" w:eastAsia="方正仿宋_GBK" w:cs="Times New Roman"/>
          <w:sz w:val="28"/>
          <w:szCs w:val="28"/>
          <w:highlight w:val="red"/>
          <w:lang w:val="en-US" w:eastAsia="zh-CN"/>
        </w:rPr>
        <w:sectPr>
          <w:footerReference r:id="rId3" w:type="default"/>
          <w:footerReference r:id="rId4" w:type="even"/>
          <w:pgSz w:w="16838" w:h="11906" w:orient="landscape"/>
          <w:pgMar w:top="1800" w:right="1440" w:bottom="1800" w:left="1440" w:header="851" w:footer="992" w:gutter="0"/>
          <w:pgBorders>
            <w:top w:val="none" w:sz="0" w:space="0"/>
            <w:left w:val="none" w:sz="0" w:space="0"/>
            <w:bottom w:val="none" w:sz="0" w:space="0"/>
            <w:right w:val="none" w:sz="0" w:space="0"/>
          </w:pgBorders>
          <w:pgNumType w:fmt="numberInDash"/>
          <w:cols w:space="425" w:num="1"/>
          <w:docGrid w:type="lines" w:linePitch="312" w:charSpace="0"/>
        </w:sectPr>
      </w:pPr>
    </w:p>
    <w:p w14:paraId="1EB4DA8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FangSong_GB2312">
    <w:altName w:val="仿宋"/>
    <w:panose1 w:val="02010609030101010101"/>
    <w:charset w:val="86"/>
    <w:family w:val="modern"/>
    <w:pitch w:val="default"/>
    <w:sig w:usb0="00000000" w:usb1="00000000"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E5D9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72619E1">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30923">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62B547F">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1A799E"/>
    <w:rsid w:val="00F44889"/>
    <w:rsid w:val="012C4639"/>
    <w:rsid w:val="02344CA9"/>
    <w:rsid w:val="02F3570A"/>
    <w:rsid w:val="02FF11C0"/>
    <w:rsid w:val="046E6B4B"/>
    <w:rsid w:val="05B02D0D"/>
    <w:rsid w:val="07BD1123"/>
    <w:rsid w:val="086C5E40"/>
    <w:rsid w:val="0AC94734"/>
    <w:rsid w:val="0B0B7CEE"/>
    <w:rsid w:val="0E42461A"/>
    <w:rsid w:val="0E91469A"/>
    <w:rsid w:val="0EE14765"/>
    <w:rsid w:val="0F3F7667"/>
    <w:rsid w:val="0F6577D9"/>
    <w:rsid w:val="0FA44136"/>
    <w:rsid w:val="0FEE5619"/>
    <w:rsid w:val="109773F2"/>
    <w:rsid w:val="1289341C"/>
    <w:rsid w:val="14190AD2"/>
    <w:rsid w:val="14466F9D"/>
    <w:rsid w:val="15501924"/>
    <w:rsid w:val="161C0E5E"/>
    <w:rsid w:val="165C7AFF"/>
    <w:rsid w:val="166B53EC"/>
    <w:rsid w:val="16CD2F38"/>
    <w:rsid w:val="17873BBD"/>
    <w:rsid w:val="182E6B68"/>
    <w:rsid w:val="18304DD3"/>
    <w:rsid w:val="1895699B"/>
    <w:rsid w:val="19F30A04"/>
    <w:rsid w:val="1ABA05ED"/>
    <w:rsid w:val="1AFC72BC"/>
    <w:rsid w:val="1B62562C"/>
    <w:rsid w:val="1E085911"/>
    <w:rsid w:val="1EC7530C"/>
    <w:rsid w:val="1EEB162D"/>
    <w:rsid w:val="20757E38"/>
    <w:rsid w:val="21EA4EFA"/>
    <w:rsid w:val="2222365B"/>
    <w:rsid w:val="24FB1DC2"/>
    <w:rsid w:val="257A6B2F"/>
    <w:rsid w:val="258D3B9E"/>
    <w:rsid w:val="275675A5"/>
    <w:rsid w:val="28832735"/>
    <w:rsid w:val="28B2541A"/>
    <w:rsid w:val="2B095359"/>
    <w:rsid w:val="2B460650"/>
    <w:rsid w:val="2B8164E9"/>
    <w:rsid w:val="2BE67E86"/>
    <w:rsid w:val="2C8D25F9"/>
    <w:rsid w:val="2C9B040D"/>
    <w:rsid w:val="2CAA5BAA"/>
    <w:rsid w:val="2D383215"/>
    <w:rsid w:val="2DEB151A"/>
    <w:rsid w:val="2E7241EB"/>
    <w:rsid w:val="2ED54CD6"/>
    <w:rsid w:val="2FD141BC"/>
    <w:rsid w:val="30042AC8"/>
    <w:rsid w:val="31503ABE"/>
    <w:rsid w:val="32EF6914"/>
    <w:rsid w:val="33C6019D"/>
    <w:rsid w:val="34150D81"/>
    <w:rsid w:val="34A34242"/>
    <w:rsid w:val="35125C77"/>
    <w:rsid w:val="36773120"/>
    <w:rsid w:val="36B2629C"/>
    <w:rsid w:val="38247890"/>
    <w:rsid w:val="397F3DF5"/>
    <w:rsid w:val="3CEF5962"/>
    <w:rsid w:val="3D8D23F7"/>
    <w:rsid w:val="3DAA4D22"/>
    <w:rsid w:val="3E725140"/>
    <w:rsid w:val="42A336EA"/>
    <w:rsid w:val="438E1BF9"/>
    <w:rsid w:val="43B555FD"/>
    <w:rsid w:val="43DB0A44"/>
    <w:rsid w:val="43DB124A"/>
    <w:rsid w:val="43DC2D0A"/>
    <w:rsid w:val="444F6DA9"/>
    <w:rsid w:val="457837CB"/>
    <w:rsid w:val="458332D2"/>
    <w:rsid w:val="45893496"/>
    <w:rsid w:val="45C9257D"/>
    <w:rsid w:val="476A02E5"/>
    <w:rsid w:val="48496728"/>
    <w:rsid w:val="48575202"/>
    <w:rsid w:val="48D647E0"/>
    <w:rsid w:val="494203DC"/>
    <w:rsid w:val="49A86280"/>
    <w:rsid w:val="49B44C48"/>
    <w:rsid w:val="4A5D71EC"/>
    <w:rsid w:val="4B264E7E"/>
    <w:rsid w:val="4C2222D9"/>
    <w:rsid w:val="4C2439B6"/>
    <w:rsid w:val="4C247440"/>
    <w:rsid w:val="4C263C1A"/>
    <w:rsid w:val="4C3B5051"/>
    <w:rsid w:val="4D1A799E"/>
    <w:rsid w:val="4DF40E40"/>
    <w:rsid w:val="4EEB251F"/>
    <w:rsid w:val="4F59576E"/>
    <w:rsid w:val="50AE6AAE"/>
    <w:rsid w:val="51842931"/>
    <w:rsid w:val="52392B0B"/>
    <w:rsid w:val="54EF721D"/>
    <w:rsid w:val="573178BC"/>
    <w:rsid w:val="57753D5F"/>
    <w:rsid w:val="582B34A0"/>
    <w:rsid w:val="588230E7"/>
    <w:rsid w:val="58A107A4"/>
    <w:rsid w:val="590103BF"/>
    <w:rsid w:val="599251D8"/>
    <w:rsid w:val="59FA1DEC"/>
    <w:rsid w:val="5B861105"/>
    <w:rsid w:val="5BB22B62"/>
    <w:rsid w:val="5C1D31A5"/>
    <w:rsid w:val="5C2E1D3B"/>
    <w:rsid w:val="5D9D6E7E"/>
    <w:rsid w:val="5DCD21EF"/>
    <w:rsid w:val="5E6C439A"/>
    <w:rsid w:val="5F5B607F"/>
    <w:rsid w:val="5FDD0A26"/>
    <w:rsid w:val="61BD5331"/>
    <w:rsid w:val="6309029F"/>
    <w:rsid w:val="65C61DD6"/>
    <w:rsid w:val="66167AAD"/>
    <w:rsid w:val="67A20C4A"/>
    <w:rsid w:val="67D06E3E"/>
    <w:rsid w:val="681D0264"/>
    <w:rsid w:val="694F5805"/>
    <w:rsid w:val="697D0F07"/>
    <w:rsid w:val="6B3B2453"/>
    <w:rsid w:val="6D110129"/>
    <w:rsid w:val="6DA742FA"/>
    <w:rsid w:val="6DB50101"/>
    <w:rsid w:val="6E304546"/>
    <w:rsid w:val="6EFD25CC"/>
    <w:rsid w:val="6F780C53"/>
    <w:rsid w:val="70030382"/>
    <w:rsid w:val="708D2F57"/>
    <w:rsid w:val="716218D9"/>
    <w:rsid w:val="719D0447"/>
    <w:rsid w:val="730561AE"/>
    <w:rsid w:val="76605354"/>
    <w:rsid w:val="76A7751E"/>
    <w:rsid w:val="777F6BB3"/>
    <w:rsid w:val="77D97DCE"/>
    <w:rsid w:val="785364CC"/>
    <w:rsid w:val="78BB2B0E"/>
    <w:rsid w:val="78FE6971"/>
    <w:rsid w:val="794200D5"/>
    <w:rsid w:val="7A551DE4"/>
    <w:rsid w:val="7BD87028"/>
    <w:rsid w:val="7C124B0B"/>
    <w:rsid w:val="7C7E2FAD"/>
    <w:rsid w:val="7D727231"/>
    <w:rsid w:val="7D7617AB"/>
    <w:rsid w:val="7DD61910"/>
    <w:rsid w:val="7E7963E5"/>
    <w:rsid w:val="7E8D6284"/>
    <w:rsid w:val="7ED176C6"/>
    <w:rsid w:val="7EEB422D"/>
    <w:rsid w:val="7F93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2025-10-23T06:33:00Z</dcterms:created>
  <dc:creator>周念珠</dc:creator>
  <cp:lastModifiedBy>周念珠</cp:lastModifiedBy>
  <dcterms:modified xsi:type="dcterms:W3CDTF">2025-10-23T06:33:38Z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FBC57E5AE00E4D15B8570A6D55A0EFCF_11</vt:lpwstr>
  </property>
  <property fmtid="{D5CDD505-2E9C-101B-9397-08002B2CF9AE}" pid="4" name="KSOTemplateDocerSaveRecord">
    <vt:lpwstr>eyJoZGlkIjoiMDNmZmYyZjE2ODU0MWE2NzBlZGViOTA3OGM3M2Q3ZDgiLCJ1c2VySWQiOiIxNjY2MjU2MDk0In0=</vt:lpwstr>
  </property>
</Properties>
</file>