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FCAA2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07AA0A34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6551CFF"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 xml:space="preserve"> 2025年重庆市初中道德与法治学科优质课大赛评价量表</w:t>
      </w:r>
    </w:p>
    <w:tbl>
      <w:tblPr>
        <w:tblStyle w:val="3"/>
        <w:tblW w:w="9218" w:type="dxa"/>
        <w:tblInd w:w="7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7421"/>
        <w:gridCol w:w="391"/>
        <w:gridCol w:w="423"/>
      </w:tblGrid>
      <w:tr w14:paraId="3D7E23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25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bidi="ar"/>
              </w:rPr>
              <w:t>评价指标</w:t>
            </w:r>
          </w:p>
        </w:tc>
        <w:tc>
          <w:tcPr>
            <w:tcW w:w="7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0A1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bidi="ar"/>
              </w:rPr>
              <w:t>评价要点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4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bidi="ar"/>
              </w:rPr>
              <w:t>权重</w:t>
            </w:r>
          </w:p>
        </w:tc>
      </w:tr>
      <w:tr w14:paraId="14EFB69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E4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教学设计</w:t>
            </w:r>
          </w:p>
        </w:tc>
        <w:tc>
          <w:tcPr>
            <w:tcW w:w="7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3F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见教学设计模板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68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15%</w:t>
            </w:r>
          </w:p>
        </w:tc>
      </w:tr>
      <w:tr w14:paraId="7C034E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A7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教学目标</w:t>
            </w:r>
          </w:p>
        </w:tc>
        <w:tc>
          <w:tcPr>
            <w:tcW w:w="7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BA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1.落实立德树人根本任务；政治立场鲜明，价值导向清晰，知行要求明确，可操作、可观察、可测评；</w:t>
            </w:r>
          </w:p>
          <w:p w14:paraId="5B194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      2.基于课标、教材和学情，制定指向核心素养的大单元教学目标和课时目标，科学合理处理二者之间的关系。</w:t>
            </w:r>
          </w:p>
          <w:p w14:paraId="42F18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3.体现学习的过程和结果，描述学生经历学习过程后应达成的目标。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CE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15%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A8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85%</w:t>
            </w:r>
          </w:p>
        </w:tc>
      </w:tr>
      <w:tr w14:paraId="2A20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8F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教学内容</w:t>
            </w:r>
          </w:p>
        </w:tc>
        <w:tc>
          <w:tcPr>
            <w:tcW w:w="7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3A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1.科学把握课程、主题、单元和课时教学内容的关系，明确核心内容对发展学生核心素养的价值；</w:t>
            </w:r>
          </w:p>
          <w:p w14:paraId="12817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2.创造性处理教材内容，教材解读准确、完整、深入，科学呈现教学内容；</w:t>
            </w:r>
          </w:p>
          <w:p w14:paraId="22763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3.重、难点把握准确，指向学科核心内容、思想方法、核心素养的落实；</w:t>
            </w:r>
          </w:p>
          <w:p w14:paraId="120FB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4.及时丰富和充实教学内容，反映党和国家重大实践和理论创新成果；</w:t>
            </w:r>
          </w:p>
          <w:p w14:paraId="329EC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5.合理运用多样化、与生活紧密联系的教学资源，有机整合教学内容。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CD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20%</w:t>
            </w: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3A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</w:tr>
      <w:tr w14:paraId="50C0C0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4D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教师教学</w:t>
            </w:r>
          </w:p>
        </w:tc>
        <w:tc>
          <w:tcPr>
            <w:tcW w:w="7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7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1.教师遵循“六要”要求，坚持“八个相统一”，守正创新推动思政课建设内涵式发展，不断提高其针对性和吸引力；</w:t>
            </w:r>
          </w:p>
          <w:p w14:paraId="37FAB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2.教学方法灵活多样，与学情及教学内容相匹配，引导学生在真实情境中分析问题和解决问题，关注学生解决问题的过程和结果；</w:t>
            </w:r>
          </w:p>
          <w:p w14:paraId="29BA6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3.教学要与社会实践活动相结合，加强课内课外联结，体现大中小学思政课“一体化”建设要求；</w:t>
            </w:r>
          </w:p>
          <w:p w14:paraId="30FE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4.教学活动有序开展，重视学生思维过程和思维方法（思维过程可视化）；</w:t>
            </w:r>
          </w:p>
          <w:p w14:paraId="0291B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5.坚持素养导向、以评促学、以评促教。评价反馈应注重即时性、生成性、针对性，努力实现“教—学—评”一致性；</w:t>
            </w:r>
          </w:p>
          <w:p w14:paraId="0BA52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6.教态自然大方，教学语言生动、严谨、深刻、凝练、流畅，师生关系平等、民主、和谐；</w:t>
            </w:r>
          </w:p>
          <w:p w14:paraId="1561D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7.板书规范、美观，准确反映教学内容、思维进阶等，逻辑性强。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B6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20%</w:t>
            </w: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38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</w:tr>
      <w:tr w14:paraId="50B5D4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A9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学生表现</w:t>
            </w:r>
          </w:p>
        </w:tc>
        <w:tc>
          <w:tcPr>
            <w:tcW w:w="7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1F36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shd w:val="clear" w:color="auto" w:fill="FFFFFF"/>
                <w:lang w:bidi="ar"/>
              </w:rPr>
              <w:t>1.积极主动参与学习，认真倾听他人观点，乐于合作与分享；保持独立思考，敢于质疑，勇于表达自己的见解。</w:t>
            </w:r>
          </w:p>
          <w:p w14:paraId="614B3F2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shd w:val="clear" w:color="auto" w:fill="FFFFFF"/>
                <w:lang w:bidi="ar"/>
              </w:rPr>
              <w:t>2.能够运用所学知识和方法探究问题、解决问题，体现高阶思维能力（如分析、综合、创新）；在合作学习中，能与同伴进行思维碰撞、方法互启，优化个人认知结构。</w:t>
            </w:r>
          </w:p>
          <w:p w14:paraId="0A62E71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shd w:val="clear" w:color="auto" w:fill="FFFFFF"/>
                <w:lang w:bidi="ar"/>
              </w:rPr>
              <w:t>3.在师生、生生互动中，能提出有意义的问题或独特见解，推动课堂深度讨论；能够从多角度辩证分析问题，修正或完善自身观点，体现反思与成长。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17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20%</w:t>
            </w: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79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</w:tr>
      <w:tr w14:paraId="23D8C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99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教学效果</w:t>
            </w:r>
          </w:p>
        </w:tc>
        <w:tc>
          <w:tcPr>
            <w:tcW w:w="7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49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1.重点突出，难点突破，目标达成度高；</w:t>
            </w:r>
          </w:p>
          <w:p w14:paraId="7DDF4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2.学生核心素养得到有效培养，不同层次学生均得到有效发展。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4F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15%</w:t>
            </w: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6E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</w:tr>
      <w:tr w14:paraId="7FB7F1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E3F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数智赋能</w:t>
            </w:r>
          </w:p>
        </w:tc>
        <w:tc>
          <w:tcPr>
            <w:tcW w:w="7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E1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1.核心素养落实与数字化教学深度融合，探索多元化、个性化、沉浸式、交互式的课堂模式。</w:t>
            </w:r>
          </w:p>
          <w:p w14:paraId="6ED20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2.充分利用数字技术在拓展教学时间与空间、提供学习资源与工具、增进学生体验与互动、支持数据采集与运用等方面的优势。 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DB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10%</w:t>
            </w: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BB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</w:tr>
    </w:tbl>
    <w:p w14:paraId="761714E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重庆市2025年初中道德与法治学科优质课大赛</w:t>
      </w:r>
    </w:p>
    <w:p w14:paraId="385D7717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报名表（二维码）</w:t>
      </w:r>
    </w:p>
    <w:p w14:paraId="0D2637A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998220</wp:posOffset>
            </wp:positionH>
            <wp:positionV relativeFrom="page">
              <wp:posOffset>2396490</wp:posOffset>
            </wp:positionV>
            <wp:extent cx="3617595" cy="3134995"/>
            <wp:effectExtent l="0" t="0" r="9525" b="4445"/>
            <wp:wrapTight wrapText="bothSides">
              <wp:wrapPolygon>
                <wp:start x="0" y="0"/>
                <wp:lineTo x="0" y="21526"/>
                <wp:lineTo x="21475" y="21526"/>
                <wp:lineTo x="21475" y="0"/>
                <wp:lineTo x="0" y="0"/>
              </wp:wrapPolygon>
            </wp:wrapTight>
            <wp:docPr id="3" name="图片 3" descr="ce86a8e940120306f98806715f12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86a8e940120306f98806715f12c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2F5AA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drawing>
          <wp:inline distT="0" distB="0" distL="114300" distR="114300">
            <wp:extent cx="5754370" cy="5754370"/>
            <wp:effectExtent l="0" t="0" r="6350" b="6350"/>
            <wp:docPr id="2" name="图片 2" descr="微信图片_20251010113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10101134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E36A"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33680B0D">
      <w:pPr>
        <w:shd w:val="clear" w:color="auto" w:fill="FFFFFF"/>
        <w:spacing w:line="540" w:lineRule="exact"/>
        <w:jc w:val="left"/>
        <w:rPr>
          <w:rStyle w:val="5"/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 w14:paraId="71A1E1FE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A6D1AE0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82AC728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579E1D3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0A64E33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130BC5B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206FA3E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37D828D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 w14:paraId="3153778F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重庆市2025年初中道德与法治学科优质课大赛</w:t>
      </w:r>
    </w:p>
    <w:p w14:paraId="1EB41E7F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参赛选手教学设计提交通道（二维码）</w:t>
      </w:r>
    </w:p>
    <w:p w14:paraId="2724CFB1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942975</wp:posOffset>
            </wp:positionH>
            <wp:positionV relativeFrom="page">
              <wp:posOffset>2485390</wp:posOffset>
            </wp:positionV>
            <wp:extent cx="3716020" cy="3716020"/>
            <wp:effectExtent l="0" t="0" r="2540" b="2540"/>
            <wp:wrapTight wrapText="bothSides">
              <wp:wrapPolygon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4" name="图片 4" descr="a6d3f496ddddd024f1b42557cf10c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d3f496ddddd024f1b42557cf10c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 w14:paraId="44DFA531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重庆市2025年初中道德与法治学科优质课大赛</w:t>
      </w:r>
    </w:p>
    <w:p w14:paraId="57596FF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赛课内容安排表</w:t>
      </w:r>
    </w:p>
    <w:p w14:paraId="23D2BEDE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第1组</w:t>
      </w:r>
    </w:p>
    <w:p w14:paraId="582384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tbl>
      <w:tblPr>
        <w:tblStyle w:val="3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2533"/>
        <w:gridCol w:w="29"/>
        <w:gridCol w:w="1970"/>
        <w:gridCol w:w="4233"/>
        <w:gridCol w:w="10"/>
      </w:tblGrid>
      <w:tr w14:paraId="2589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71DF9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</w:rPr>
              <w:t>区（县）/学校</w:t>
            </w:r>
          </w:p>
        </w:tc>
        <w:tc>
          <w:tcPr>
            <w:tcW w:w="1999" w:type="dxa"/>
            <w:gridSpan w:val="2"/>
            <w:vAlign w:val="center"/>
          </w:tcPr>
          <w:p w14:paraId="42826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</w:rPr>
              <w:t>教材</w:t>
            </w:r>
          </w:p>
        </w:tc>
        <w:tc>
          <w:tcPr>
            <w:tcW w:w="4233" w:type="dxa"/>
            <w:vAlign w:val="center"/>
          </w:tcPr>
          <w:p w14:paraId="14FDF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</w:rPr>
              <w:t>赛课内容</w:t>
            </w:r>
          </w:p>
        </w:tc>
      </w:tr>
      <w:tr w14:paraId="65E1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74EA6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城口县</w:t>
            </w:r>
          </w:p>
        </w:tc>
        <w:tc>
          <w:tcPr>
            <w:tcW w:w="1999" w:type="dxa"/>
            <w:gridSpan w:val="2"/>
            <w:vAlign w:val="center"/>
          </w:tcPr>
          <w:p w14:paraId="0C8DE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6BFEF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树立法治观念</w:t>
            </w:r>
          </w:p>
        </w:tc>
      </w:tr>
      <w:tr w14:paraId="0812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520E3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长寿区</w:t>
            </w:r>
          </w:p>
        </w:tc>
        <w:tc>
          <w:tcPr>
            <w:tcW w:w="1999" w:type="dxa"/>
            <w:gridSpan w:val="2"/>
            <w:vAlign w:val="center"/>
          </w:tcPr>
          <w:p w14:paraId="7F5C5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1EA88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树立法治观念</w:t>
            </w:r>
          </w:p>
        </w:tc>
      </w:tr>
      <w:tr w14:paraId="647D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77583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南岸区</w:t>
            </w:r>
          </w:p>
        </w:tc>
        <w:tc>
          <w:tcPr>
            <w:tcW w:w="1999" w:type="dxa"/>
            <w:gridSpan w:val="2"/>
            <w:vAlign w:val="center"/>
          </w:tcPr>
          <w:p w14:paraId="64512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58396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树立法治观念</w:t>
            </w:r>
          </w:p>
        </w:tc>
      </w:tr>
      <w:tr w14:paraId="5364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5FE88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高新技术产业开发区</w:t>
            </w:r>
          </w:p>
        </w:tc>
        <w:tc>
          <w:tcPr>
            <w:tcW w:w="1999" w:type="dxa"/>
            <w:gridSpan w:val="2"/>
            <w:vAlign w:val="center"/>
          </w:tcPr>
          <w:p w14:paraId="2FAB2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7CC3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树立法治观念</w:t>
            </w:r>
          </w:p>
        </w:tc>
      </w:tr>
      <w:tr w14:paraId="0771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8765" w:type="dxa"/>
            <w:gridSpan w:val="4"/>
            <w:vAlign w:val="center"/>
          </w:tcPr>
          <w:p w14:paraId="66EC2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099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1E43A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荣昌区</w:t>
            </w:r>
          </w:p>
        </w:tc>
        <w:tc>
          <w:tcPr>
            <w:tcW w:w="1999" w:type="dxa"/>
            <w:gridSpan w:val="2"/>
            <w:vAlign w:val="center"/>
          </w:tcPr>
          <w:p w14:paraId="72EB2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370F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国家利益高于一切</w:t>
            </w:r>
          </w:p>
        </w:tc>
      </w:tr>
      <w:tr w14:paraId="40C4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0F94A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万州区</w:t>
            </w:r>
          </w:p>
        </w:tc>
        <w:tc>
          <w:tcPr>
            <w:tcW w:w="1999" w:type="dxa"/>
            <w:gridSpan w:val="2"/>
            <w:vAlign w:val="center"/>
          </w:tcPr>
          <w:p w14:paraId="553C8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0124F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国家利益高于一切</w:t>
            </w:r>
          </w:p>
        </w:tc>
      </w:tr>
      <w:tr w14:paraId="0518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90" w:hRule="atLeast"/>
          <w:jc w:val="center"/>
        </w:trPr>
        <w:tc>
          <w:tcPr>
            <w:tcW w:w="2533" w:type="dxa"/>
            <w:vAlign w:val="center"/>
          </w:tcPr>
          <w:p w14:paraId="639D6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永川区</w:t>
            </w:r>
          </w:p>
        </w:tc>
        <w:tc>
          <w:tcPr>
            <w:tcW w:w="1999" w:type="dxa"/>
            <w:gridSpan w:val="2"/>
            <w:vAlign w:val="center"/>
          </w:tcPr>
          <w:p w14:paraId="529F9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7FF83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国家利益高于一切</w:t>
            </w:r>
          </w:p>
        </w:tc>
      </w:tr>
      <w:tr w14:paraId="162D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78449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重庆市巴蜀中学校</w:t>
            </w:r>
          </w:p>
        </w:tc>
        <w:tc>
          <w:tcPr>
            <w:tcW w:w="1999" w:type="dxa"/>
            <w:gridSpan w:val="2"/>
            <w:vAlign w:val="center"/>
          </w:tcPr>
          <w:p w14:paraId="0E2FE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0A39E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国家利益高于一切</w:t>
            </w:r>
          </w:p>
        </w:tc>
      </w:tr>
      <w:tr w14:paraId="7B46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8765" w:type="dxa"/>
            <w:gridSpan w:val="4"/>
            <w:vAlign w:val="center"/>
          </w:tcPr>
          <w:p w14:paraId="343D7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5B9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4C22C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丰都县</w:t>
            </w:r>
          </w:p>
        </w:tc>
        <w:tc>
          <w:tcPr>
            <w:tcW w:w="1999" w:type="dxa"/>
            <w:gridSpan w:val="2"/>
            <w:vAlign w:val="center"/>
          </w:tcPr>
          <w:p w14:paraId="2901C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353E1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认识国家安全</w:t>
            </w:r>
          </w:p>
        </w:tc>
      </w:tr>
      <w:tr w14:paraId="66C2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6DE6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黔江区</w:t>
            </w:r>
          </w:p>
        </w:tc>
        <w:tc>
          <w:tcPr>
            <w:tcW w:w="1999" w:type="dxa"/>
            <w:gridSpan w:val="2"/>
            <w:vAlign w:val="center"/>
          </w:tcPr>
          <w:p w14:paraId="21EFC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1BEBD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认识国家安全</w:t>
            </w:r>
          </w:p>
        </w:tc>
      </w:tr>
      <w:tr w14:paraId="4981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51022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西南大学附属中学校</w:t>
            </w:r>
          </w:p>
        </w:tc>
        <w:tc>
          <w:tcPr>
            <w:tcW w:w="1999" w:type="dxa"/>
            <w:gridSpan w:val="2"/>
            <w:vAlign w:val="center"/>
          </w:tcPr>
          <w:p w14:paraId="464F1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29B5F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认识国家安全</w:t>
            </w:r>
          </w:p>
        </w:tc>
      </w:tr>
      <w:tr w14:paraId="0131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52760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彭水苗族土家族自治县</w:t>
            </w:r>
          </w:p>
        </w:tc>
        <w:tc>
          <w:tcPr>
            <w:tcW w:w="1999" w:type="dxa"/>
            <w:gridSpan w:val="2"/>
            <w:vAlign w:val="center"/>
          </w:tcPr>
          <w:p w14:paraId="0B049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38A49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认识国家安全</w:t>
            </w:r>
          </w:p>
        </w:tc>
      </w:tr>
      <w:tr w14:paraId="41DD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8765" w:type="dxa"/>
            <w:gridSpan w:val="4"/>
            <w:vAlign w:val="center"/>
          </w:tcPr>
          <w:p w14:paraId="36D15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F7E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01B97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垫江县</w:t>
            </w:r>
          </w:p>
        </w:tc>
        <w:tc>
          <w:tcPr>
            <w:tcW w:w="1999" w:type="dxa"/>
            <w:gridSpan w:val="2"/>
            <w:vAlign w:val="center"/>
          </w:tcPr>
          <w:p w14:paraId="51FD0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3C63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维护国家安全</w:t>
            </w:r>
          </w:p>
        </w:tc>
      </w:tr>
      <w:tr w14:paraId="1D63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0A22B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江北区</w:t>
            </w:r>
          </w:p>
        </w:tc>
        <w:tc>
          <w:tcPr>
            <w:tcW w:w="1999" w:type="dxa"/>
            <w:gridSpan w:val="2"/>
            <w:vAlign w:val="center"/>
          </w:tcPr>
          <w:p w14:paraId="3BE2F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68710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维护国家安全</w:t>
            </w:r>
          </w:p>
        </w:tc>
      </w:tr>
      <w:tr w14:paraId="5FF0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237E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九龙坡区</w:t>
            </w:r>
          </w:p>
        </w:tc>
        <w:tc>
          <w:tcPr>
            <w:tcW w:w="1999" w:type="dxa"/>
            <w:gridSpan w:val="2"/>
            <w:vAlign w:val="center"/>
          </w:tcPr>
          <w:p w14:paraId="5606F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35248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维护国家安全</w:t>
            </w:r>
          </w:p>
        </w:tc>
      </w:tr>
      <w:tr w14:paraId="4A06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tcBorders>
              <w:bottom w:val="single" w:color="auto" w:sz="4" w:space="0"/>
            </w:tcBorders>
            <w:vAlign w:val="center"/>
          </w:tcPr>
          <w:p w14:paraId="72744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石柱土家族自治县</w:t>
            </w:r>
          </w:p>
        </w:tc>
        <w:tc>
          <w:tcPr>
            <w:tcW w:w="1999" w:type="dxa"/>
            <w:gridSpan w:val="2"/>
            <w:tcBorders>
              <w:bottom w:val="single" w:color="auto" w:sz="4" w:space="0"/>
            </w:tcBorders>
            <w:vAlign w:val="center"/>
          </w:tcPr>
          <w:p w14:paraId="5937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tcBorders>
              <w:bottom w:val="single" w:color="auto" w:sz="4" w:space="0"/>
            </w:tcBorders>
            <w:vAlign w:val="center"/>
          </w:tcPr>
          <w:p w14:paraId="3C2B9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维护国家安全</w:t>
            </w:r>
          </w:p>
        </w:tc>
      </w:tr>
      <w:tr w14:paraId="63EF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87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DB13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第2组</w:t>
            </w:r>
          </w:p>
        </w:tc>
      </w:tr>
      <w:tr w14:paraId="50CF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233" w:hRule="atLeast"/>
          <w:jc w:val="center"/>
        </w:trPr>
        <w:tc>
          <w:tcPr>
            <w:tcW w:w="2533" w:type="dxa"/>
            <w:tcBorders>
              <w:top w:val="single" w:color="auto" w:sz="4" w:space="0"/>
            </w:tcBorders>
            <w:vAlign w:val="center"/>
          </w:tcPr>
          <w:p w14:paraId="621AA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</w:rPr>
              <w:t>区县/学校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</w:tcBorders>
            <w:vAlign w:val="center"/>
          </w:tcPr>
          <w:p w14:paraId="67A37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</w:rPr>
              <w:t>教材</w:t>
            </w:r>
          </w:p>
        </w:tc>
        <w:tc>
          <w:tcPr>
            <w:tcW w:w="4233" w:type="dxa"/>
            <w:tcBorders>
              <w:top w:val="single" w:color="auto" w:sz="4" w:space="0"/>
            </w:tcBorders>
            <w:vAlign w:val="center"/>
          </w:tcPr>
          <w:p w14:paraId="49FC9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</w:rPr>
              <w:t>赛课内容</w:t>
            </w:r>
          </w:p>
        </w:tc>
      </w:tr>
      <w:tr w14:paraId="02F9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3E6E9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梁平区</w:t>
            </w:r>
          </w:p>
        </w:tc>
        <w:tc>
          <w:tcPr>
            <w:tcW w:w="1999" w:type="dxa"/>
            <w:gridSpan w:val="2"/>
            <w:vAlign w:val="center"/>
          </w:tcPr>
          <w:p w14:paraId="0495F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6F064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党和人民信赖的英雄军队</w:t>
            </w:r>
          </w:p>
        </w:tc>
      </w:tr>
      <w:tr w14:paraId="2248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2AFA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铜梁区</w:t>
            </w:r>
          </w:p>
        </w:tc>
        <w:tc>
          <w:tcPr>
            <w:tcW w:w="1999" w:type="dxa"/>
            <w:gridSpan w:val="2"/>
            <w:vAlign w:val="center"/>
          </w:tcPr>
          <w:p w14:paraId="78438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25AFE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党和人民信赖的英雄军队</w:t>
            </w:r>
          </w:p>
        </w:tc>
      </w:tr>
      <w:tr w14:paraId="4DA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59824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北碚区</w:t>
            </w:r>
          </w:p>
        </w:tc>
        <w:tc>
          <w:tcPr>
            <w:tcW w:w="1999" w:type="dxa"/>
            <w:gridSpan w:val="2"/>
            <w:vAlign w:val="center"/>
          </w:tcPr>
          <w:p w14:paraId="2C38C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2748A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党和人民信赖的英雄军队</w:t>
            </w:r>
          </w:p>
        </w:tc>
      </w:tr>
      <w:tr w14:paraId="126F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1362F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渝中区</w:t>
            </w:r>
          </w:p>
        </w:tc>
        <w:tc>
          <w:tcPr>
            <w:tcW w:w="1999" w:type="dxa"/>
            <w:gridSpan w:val="2"/>
            <w:vAlign w:val="center"/>
          </w:tcPr>
          <w:p w14:paraId="3BAF5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49FB5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党和人民信赖的英雄军队</w:t>
            </w:r>
          </w:p>
        </w:tc>
      </w:tr>
      <w:tr w14:paraId="5243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8765" w:type="dxa"/>
            <w:gridSpan w:val="4"/>
            <w:vAlign w:val="center"/>
          </w:tcPr>
          <w:p w14:paraId="7E0A7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B0A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68AAC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潼南区</w:t>
            </w:r>
          </w:p>
        </w:tc>
        <w:tc>
          <w:tcPr>
            <w:tcW w:w="1999" w:type="dxa"/>
            <w:gridSpan w:val="2"/>
            <w:vAlign w:val="center"/>
          </w:tcPr>
          <w:p w14:paraId="3EA72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2F1B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全面推进国防和军队现代化</w:t>
            </w:r>
          </w:p>
        </w:tc>
      </w:tr>
      <w:tr w14:paraId="5C29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14D25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忠县</w:t>
            </w:r>
          </w:p>
        </w:tc>
        <w:tc>
          <w:tcPr>
            <w:tcW w:w="1999" w:type="dxa"/>
            <w:gridSpan w:val="2"/>
            <w:vAlign w:val="center"/>
          </w:tcPr>
          <w:p w14:paraId="26008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35E81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全面推进国防和军队现代化</w:t>
            </w:r>
          </w:p>
        </w:tc>
      </w:tr>
      <w:tr w14:paraId="01D9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0237D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万盛经济技术开发区</w:t>
            </w:r>
          </w:p>
        </w:tc>
        <w:tc>
          <w:tcPr>
            <w:tcW w:w="1999" w:type="dxa"/>
            <w:gridSpan w:val="2"/>
            <w:vAlign w:val="center"/>
          </w:tcPr>
          <w:p w14:paraId="23E4C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50E89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全面推进国防和军队现代化</w:t>
            </w:r>
          </w:p>
        </w:tc>
      </w:tr>
      <w:tr w14:paraId="5A64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0" w:type="dxa"/>
          <w:trHeight w:val="363" w:hRule="atLeast"/>
          <w:jc w:val="center"/>
        </w:trPr>
        <w:tc>
          <w:tcPr>
            <w:tcW w:w="2533" w:type="dxa"/>
            <w:vAlign w:val="center"/>
          </w:tcPr>
          <w:p w14:paraId="558A8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重庆市第一中学校</w:t>
            </w:r>
          </w:p>
        </w:tc>
        <w:tc>
          <w:tcPr>
            <w:tcW w:w="1999" w:type="dxa"/>
            <w:gridSpan w:val="2"/>
            <w:vAlign w:val="center"/>
          </w:tcPr>
          <w:p w14:paraId="0EBB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八年级上册</w:t>
            </w:r>
          </w:p>
        </w:tc>
        <w:tc>
          <w:tcPr>
            <w:tcW w:w="4233" w:type="dxa"/>
            <w:vAlign w:val="center"/>
          </w:tcPr>
          <w:p w14:paraId="28106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全面推进国防和军队现代化</w:t>
            </w:r>
          </w:p>
        </w:tc>
      </w:tr>
      <w:tr w14:paraId="23F1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55E1F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74BB2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  <w:tc>
          <w:tcPr>
            <w:tcW w:w="4243" w:type="dxa"/>
            <w:gridSpan w:val="2"/>
            <w:vAlign w:val="center"/>
          </w:tcPr>
          <w:p w14:paraId="7683F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</w:tr>
      <w:tr w14:paraId="0133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7818A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巴南区</w:t>
            </w:r>
          </w:p>
        </w:tc>
        <w:tc>
          <w:tcPr>
            <w:tcW w:w="1970" w:type="dxa"/>
            <w:vAlign w:val="center"/>
          </w:tcPr>
          <w:p w14:paraId="7996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1C5C6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中央军事委员会的性质和产生</w:t>
            </w:r>
          </w:p>
        </w:tc>
      </w:tr>
      <w:tr w14:paraId="73F5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3463A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奉节县</w:t>
            </w:r>
          </w:p>
        </w:tc>
        <w:tc>
          <w:tcPr>
            <w:tcW w:w="1970" w:type="dxa"/>
            <w:vAlign w:val="center"/>
          </w:tcPr>
          <w:p w14:paraId="72AE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523DE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中央军事委员会的性质和产生</w:t>
            </w:r>
          </w:p>
        </w:tc>
      </w:tr>
      <w:tr w14:paraId="2196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5CF60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育才中学学校</w:t>
            </w:r>
          </w:p>
        </w:tc>
        <w:tc>
          <w:tcPr>
            <w:tcW w:w="1970" w:type="dxa"/>
            <w:vAlign w:val="center"/>
          </w:tcPr>
          <w:p w14:paraId="0874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58EA5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中央军事委员会的性质和产生</w:t>
            </w:r>
          </w:p>
        </w:tc>
      </w:tr>
      <w:tr w14:paraId="4435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2A3B8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酉阳土家族苗族自治县</w:t>
            </w:r>
          </w:p>
        </w:tc>
        <w:tc>
          <w:tcPr>
            <w:tcW w:w="1970" w:type="dxa"/>
            <w:vAlign w:val="center"/>
          </w:tcPr>
          <w:p w14:paraId="7B26C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52853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中央军事委员会的性质和产生</w:t>
            </w:r>
          </w:p>
        </w:tc>
      </w:tr>
      <w:tr w14:paraId="3104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6"/>
            <w:vAlign w:val="center"/>
          </w:tcPr>
          <w:p w14:paraId="265C2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DD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6DFC7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大渡口区</w:t>
            </w:r>
          </w:p>
        </w:tc>
        <w:tc>
          <w:tcPr>
            <w:tcW w:w="1970" w:type="dxa"/>
            <w:vAlign w:val="center"/>
          </w:tcPr>
          <w:p w14:paraId="17681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61692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中央军事委员会的领导体制和职权</w:t>
            </w:r>
          </w:p>
        </w:tc>
      </w:tr>
      <w:tr w14:paraId="7BC7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2BE8D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南川区</w:t>
            </w:r>
          </w:p>
        </w:tc>
        <w:tc>
          <w:tcPr>
            <w:tcW w:w="1970" w:type="dxa"/>
            <w:vAlign w:val="center"/>
          </w:tcPr>
          <w:p w14:paraId="2EDBE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7EF69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中央军事委员会的领导体制和职权</w:t>
            </w:r>
          </w:p>
        </w:tc>
      </w:tr>
      <w:tr w14:paraId="1332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5939C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重庆实验外国语学校</w:t>
            </w:r>
          </w:p>
        </w:tc>
        <w:tc>
          <w:tcPr>
            <w:tcW w:w="1970" w:type="dxa"/>
            <w:vAlign w:val="center"/>
          </w:tcPr>
          <w:p w14:paraId="4393D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41863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中央军事委员会的领导体制和职权</w:t>
            </w:r>
          </w:p>
        </w:tc>
      </w:tr>
      <w:tr w14:paraId="3D09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tcBorders>
              <w:bottom w:val="single" w:color="auto" w:sz="4" w:space="0"/>
            </w:tcBorders>
            <w:vAlign w:val="center"/>
          </w:tcPr>
          <w:p w14:paraId="6A93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秀山土家族苗族自治县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 w14:paraId="5B620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八年级下册</w:t>
            </w:r>
          </w:p>
        </w:tc>
        <w:tc>
          <w:tcPr>
            <w:tcW w:w="4243" w:type="dxa"/>
            <w:gridSpan w:val="2"/>
            <w:tcBorders>
              <w:bottom w:val="single" w:color="auto" w:sz="4" w:space="0"/>
            </w:tcBorders>
            <w:vAlign w:val="center"/>
          </w:tcPr>
          <w:p w14:paraId="03169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中央军事委员会的领导体制和职权</w:t>
            </w:r>
          </w:p>
        </w:tc>
      </w:tr>
      <w:tr w14:paraId="3DB0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991B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第3组</w:t>
            </w:r>
          </w:p>
        </w:tc>
      </w:tr>
      <w:tr w14:paraId="6A0C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</w:tcBorders>
            <w:vAlign w:val="center"/>
          </w:tcPr>
          <w:p w14:paraId="33400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大足区</w:t>
            </w:r>
          </w:p>
        </w:tc>
        <w:tc>
          <w:tcPr>
            <w:tcW w:w="1970" w:type="dxa"/>
            <w:tcBorders>
              <w:top w:val="single" w:color="auto" w:sz="4" w:space="0"/>
            </w:tcBorders>
            <w:vAlign w:val="center"/>
          </w:tcPr>
          <w:p w14:paraId="218D3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tcBorders>
              <w:top w:val="single" w:color="auto" w:sz="4" w:space="0"/>
            </w:tcBorders>
            <w:vAlign w:val="center"/>
          </w:tcPr>
          <w:p w14:paraId="41FF3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党领导人民制定宪法</w:t>
            </w:r>
          </w:p>
        </w:tc>
      </w:tr>
      <w:tr w14:paraId="403E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5816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开州区</w:t>
            </w:r>
          </w:p>
        </w:tc>
        <w:tc>
          <w:tcPr>
            <w:tcW w:w="1970" w:type="dxa"/>
            <w:vAlign w:val="center"/>
          </w:tcPr>
          <w:p w14:paraId="44B57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3626A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党领导人民制定宪法</w:t>
            </w:r>
          </w:p>
        </w:tc>
      </w:tr>
      <w:tr w14:paraId="405A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4A2F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綦江区</w:t>
            </w:r>
          </w:p>
        </w:tc>
        <w:tc>
          <w:tcPr>
            <w:tcW w:w="1970" w:type="dxa"/>
            <w:vAlign w:val="center"/>
          </w:tcPr>
          <w:p w14:paraId="7080E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7E80D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党领导人民制定宪法</w:t>
            </w:r>
          </w:p>
        </w:tc>
      </w:tr>
      <w:tr w14:paraId="459E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222A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沙坪坝区</w:t>
            </w:r>
          </w:p>
        </w:tc>
        <w:tc>
          <w:tcPr>
            <w:tcW w:w="1970" w:type="dxa"/>
            <w:vAlign w:val="center"/>
          </w:tcPr>
          <w:p w14:paraId="324FD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1340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党领导人民制定宪法</w:t>
            </w:r>
          </w:p>
        </w:tc>
      </w:tr>
      <w:tr w14:paraId="66DE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6"/>
            <w:vAlign w:val="center"/>
          </w:tcPr>
          <w:p w14:paraId="1D050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40C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72BFA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武隆区</w:t>
            </w:r>
          </w:p>
        </w:tc>
        <w:tc>
          <w:tcPr>
            <w:tcW w:w="1970" w:type="dxa"/>
            <w:vAlign w:val="center"/>
          </w:tcPr>
          <w:p w14:paraId="62319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57D68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全面依法治国的指导思想</w:t>
            </w:r>
          </w:p>
        </w:tc>
      </w:tr>
      <w:tr w14:paraId="2B96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389D8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云阳县</w:t>
            </w:r>
          </w:p>
        </w:tc>
        <w:tc>
          <w:tcPr>
            <w:tcW w:w="1970" w:type="dxa"/>
            <w:vAlign w:val="center"/>
          </w:tcPr>
          <w:p w14:paraId="785CF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5B172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全面依法治国的指导思想</w:t>
            </w:r>
          </w:p>
        </w:tc>
      </w:tr>
      <w:tr w14:paraId="5B82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487B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璧山区</w:t>
            </w:r>
          </w:p>
        </w:tc>
        <w:tc>
          <w:tcPr>
            <w:tcW w:w="1970" w:type="dxa"/>
            <w:vAlign w:val="center"/>
          </w:tcPr>
          <w:p w14:paraId="29B1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07D5E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全面依法治国的指导思想</w:t>
            </w:r>
          </w:p>
        </w:tc>
      </w:tr>
      <w:tr w14:paraId="34BE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7089C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重庆市南开中学校</w:t>
            </w:r>
          </w:p>
        </w:tc>
        <w:tc>
          <w:tcPr>
            <w:tcW w:w="1970" w:type="dxa"/>
            <w:vAlign w:val="center"/>
          </w:tcPr>
          <w:p w14:paraId="7185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32F84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全面依法治国的指导思想</w:t>
            </w:r>
          </w:p>
        </w:tc>
      </w:tr>
      <w:tr w14:paraId="5F8F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6"/>
            <w:vAlign w:val="center"/>
          </w:tcPr>
          <w:p w14:paraId="3F5AC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501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30B5A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涪陵区</w:t>
            </w:r>
          </w:p>
        </w:tc>
        <w:tc>
          <w:tcPr>
            <w:tcW w:w="1970" w:type="dxa"/>
            <w:vAlign w:val="center"/>
          </w:tcPr>
          <w:p w14:paraId="1C9A9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5F4F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法治与改革相互促进</w:t>
            </w:r>
          </w:p>
        </w:tc>
      </w:tr>
      <w:tr w14:paraId="0225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150A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巫山县</w:t>
            </w:r>
          </w:p>
        </w:tc>
        <w:tc>
          <w:tcPr>
            <w:tcW w:w="1970" w:type="dxa"/>
            <w:vAlign w:val="center"/>
          </w:tcPr>
          <w:p w14:paraId="0A4B1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3001C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法治与改革相互促进</w:t>
            </w:r>
          </w:p>
        </w:tc>
      </w:tr>
      <w:tr w14:paraId="75FD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4561C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两江新区</w:t>
            </w:r>
          </w:p>
        </w:tc>
        <w:tc>
          <w:tcPr>
            <w:tcW w:w="1970" w:type="dxa"/>
            <w:vAlign w:val="center"/>
          </w:tcPr>
          <w:p w14:paraId="3B5E3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2EAF3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法治与改革相互促进</w:t>
            </w:r>
          </w:p>
        </w:tc>
      </w:tr>
      <w:tr w14:paraId="69EB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7A36F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重庆市第八中学校</w:t>
            </w:r>
          </w:p>
        </w:tc>
        <w:tc>
          <w:tcPr>
            <w:tcW w:w="1970" w:type="dxa"/>
            <w:vAlign w:val="center"/>
          </w:tcPr>
          <w:p w14:paraId="5F4BE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48786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法治与改革相互促进</w:t>
            </w:r>
          </w:p>
        </w:tc>
      </w:tr>
      <w:tr w14:paraId="60C7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6"/>
            <w:vAlign w:val="center"/>
          </w:tcPr>
          <w:p w14:paraId="1B400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0BE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3C5D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巫溪县</w:t>
            </w:r>
          </w:p>
        </w:tc>
        <w:tc>
          <w:tcPr>
            <w:tcW w:w="1970" w:type="dxa"/>
            <w:vAlign w:val="center"/>
          </w:tcPr>
          <w:p w14:paraId="69B19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03E0A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法治与德治相得益彰</w:t>
            </w:r>
          </w:p>
        </w:tc>
      </w:tr>
      <w:tr w14:paraId="5EB7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6F14E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江津区</w:t>
            </w:r>
          </w:p>
        </w:tc>
        <w:tc>
          <w:tcPr>
            <w:tcW w:w="1970" w:type="dxa"/>
            <w:vAlign w:val="center"/>
          </w:tcPr>
          <w:p w14:paraId="7E683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790D1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法治与德治相得益彰</w:t>
            </w:r>
          </w:p>
        </w:tc>
      </w:tr>
      <w:tr w14:paraId="5569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22203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合川区</w:t>
            </w:r>
          </w:p>
        </w:tc>
        <w:tc>
          <w:tcPr>
            <w:tcW w:w="1970" w:type="dxa"/>
            <w:vAlign w:val="center"/>
          </w:tcPr>
          <w:p w14:paraId="3EFC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73187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法治与德治相得益彰</w:t>
            </w:r>
          </w:p>
        </w:tc>
      </w:tr>
      <w:tr w14:paraId="7D91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019E3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渝北区</w:t>
            </w:r>
          </w:p>
        </w:tc>
        <w:tc>
          <w:tcPr>
            <w:tcW w:w="1970" w:type="dxa"/>
            <w:vAlign w:val="center"/>
          </w:tcPr>
          <w:p w14:paraId="13220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  <w:vAlign w:val="center"/>
          </w:tcPr>
          <w:p w14:paraId="76950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法治与德治相得益彰</w:t>
            </w:r>
          </w:p>
        </w:tc>
      </w:tr>
      <w:tr w14:paraId="6C96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gridSpan w:val="3"/>
            <w:vAlign w:val="center"/>
          </w:tcPr>
          <w:p w14:paraId="193F8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重庆市巴蜀中学校（张家花园校区）</w:t>
            </w:r>
          </w:p>
        </w:tc>
        <w:tc>
          <w:tcPr>
            <w:tcW w:w="1970" w:type="dxa"/>
          </w:tcPr>
          <w:p w14:paraId="2A29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八年级下册</w:t>
            </w:r>
          </w:p>
        </w:tc>
        <w:tc>
          <w:tcPr>
            <w:tcW w:w="4243" w:type="dxa"/>
            <w:gridSpan w:val="2"/>
          </w:tcPr>
          <w:p w14:paraId="0462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法治与德治相得益彰</w:t>
            </w:r>
          </w:p>
        </w:tc>
      </w:tr>
    </w:tbl>
    <w:p w14:paraId="6ABFC59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重庆市2025年初中道德与法治学科优质课大赛</w:t>
      </w:r>
    </w:p>
    <w:p w14:paraId="53220E88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观摩教师登记表（二维码）</w:t>
      </w:r>
    </w:p>
    <w:p w14:paraId="15F5A115">
      <w:pPr>
        <w:rPr>
          <w:rFonts w:hint="default" w:ascii="Times New Roman" w:hAnsi="Times New Roman" w:eastAsia="楷体_GB2312" w:cs="Times New Roman"/>
          <w:b/>
          <w:szCs w:val="21"/>
          <w:shd w:val="clear" w:color="auto" w:fill="FF0000"/>
        </w:rPr>
      </w:pPr>
    </w:p>
    <w:p w14:paraId="243CF142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1336040</wp:posOffset>
            </wp:positionH>
            <wp:positionV relativeFrom="page">
              <wp:posOffset>2314575</wp:posOffset>
            </wp:positionV>
            <wp:extent cx="2286000" cy="2286000"/>
            <wp:effectExtent l="0" t="0" r="0" b="0"/>
            <wp:wrapTight wrapText="bothSides">
              <wp:wrapPolygon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5" name="图片 5" descr="C:\Users\Administrator\Documents\WeChat Files\liuyi2865\FileStorage\Temp\fbdf5ee78291b1fb66ab0ec65114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WeChat Files\liuyi2865\FileStorage\Temp\fbdf5ee78291b1fb66ab0ec651140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 w14:paraId="598FB08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重庆市2025年初中道德与法治学科优质课大赛</w:t>
      </w:r>
    </w:p>
    <w:p w14:paraId="01408C84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课时教学设计模板</w:t>
      </w:r>
    </w:p>
    <w:p w14:paraId="4096CFD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743"/>
      </w:tblGrid>
      <w:tr w14:paraId="5749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1653C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课时教学设计</w:t>
            </w:r>
          </w:p>
        </w:tc>
      </w:tr>
      <w:tr w14:paraId="392E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33" w:type="dxa"/>
            <w:vAlign w:val="center"/>
          </w:tcPr>
          <w:p w14:paraId="518ED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课题</w:t>
            </w:r>
          </w:p>
        </w:tc>
        <w:tc>
          <w:tcPr>
            <w:tcW w:w="8743" w:type="dxa"/>
            <w:vAlign w:val="center"/>
          </w:tcPr>
          <w:p w14:paraId="60937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 w14:paraId="1F75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116A7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1.内容分析：</w:t>
            </w:r>
            <w:r>
              <w:rPr>
                <w:rFonts w:hint="default" w:ascii="Times New Roman" w:hAnsi="Times New Roman" w:eastAsia="方正仿宋_GBK" w:cs="Times New Roman"/>
              </w:rPr>
              <w:t>本课时教学内容分析，在单元中的位置，核心内容对发展学生核心素养的功能价值分析，蕴含的正确价值观念，已学内容与本课内容的关联。可用结构图呈现。</w:t>
            </w:r>
          </w:p>
        </w:tc>
      </w:tr>
      <w:tr w14:paraId="5287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0DA1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2.学情分析：</w:t>
            </w:r>
            <w:r>
              <w:rPr>
                <w:rFonts w:hint="default" w:ascii="Times New Roman" w:hAnsi="Times New Roman" w:eastAsia="方正仿宋_GBK" w:cs="Times New Roman"/>
              </w:rPr>
              <w:t>学生与本课时学习相关的学习经验、知识储备、学科能力水平、学习兴趣的分析，学习发展需求、发展路径分析，学习本课时可能遇到的困难。</w:t>
            </w:r>
          </w:p>
        </w:tc>
      </w:tr>
      <w:tr w14:paraId="0882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29D54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3.目标确定</w:t>
            </w:r>
            <w:r>
              <w:rPr>
                <w:rFonts w:hint="default" w:ascii="Times New Roman" w:hAnsi="Times New Roman" w:eastAsia="方正仿宋_GBK" w:cs="Times New Roman"/>
              </w:rPr>
              <w:t>：根据课程标准和学生实际，指向学科核心内容、思想方法、核心素养的发展进阶，描述学生经历学习过程后应达成的目标和应能够做到的事情。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可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用“通过（过程），获得（结果），形成/能完成（表现）的语法结构分条叙写目标”。</w:t>
            </w:r>
          </w:p>
        </w:tc>
      </w:tr>
      <w:tr w14:paraId="5F37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76" w:type="dxa"/>
            <w:gridSpan w:val="2"/>
            <w:vAlign w:val="center"/>
          </w:tcPr>
          <w:p w14:paraId="1A731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4.重点和难点：</w:t>
            </w:r>
            <w:r>
              <w:rPr>
                <w:rFonts w:hint="default" w:ascii="Times New Roman" w:hAnsi="Times New Roman" w:eastAsia="方正仿宋_GBK" w:cs="Times New Roman"/>
              </w:rPr>
              <w:t>根据学科课程标准和学生实际，指向学科核心内容、思想方法、核心素养的落实，明确重点和难点。</w:t>
            </w:r>
          </w:p>
        </w:tc>
      </w:tr>
      <w:tr w14:paraId="33AA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3F4FB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5.教法和学法：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教师教学方法多样、灵活，与教学内容有机结合，注重启发式教学；学生进行自主、合作、探究学习；现代信息技术与教学深度融合。</w:t>
            </w:r>
          </w:p>
        </w:tc>
      </w:tr>
      <w:tr w14:paraId="543B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5F815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6.评价设计</w:t>
            </w:r>
            <w:r>
              <w:rPr>
                <w:rFonts w:hint="default" w:ascii="Times New Roman" w:hAnsi="Times New Roman" w:eastAsia="方正仿宋_GBK" w:cs="Times New Roman"/>
              </w:rPr>
              <w:t>：基于课程标准，体现教学评一致性和一体化，评价贯穿课前、课中、课后。</w:t>
            </w:r>
          </w:p>
        </w:tc>
      </w:tr>
      <w:tr w14:paraId="5BA0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435A7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7.学习活动设计</w:t>
            </w:r>
          </w:p>
          <w:tbl>
            <w:tblPr>
              <w:tblStyle w:val="3"/>
              <w:tblW w:w="9649" w:type="dxa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7"/>
              <w:gridCol w:w="64"/>
              <w:gridCol w:w="5158"/>
            </w:tblGrid>
            <w:tr w14:paraId="42734633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4427" w:type="dxa"/>
                </w:tcPr>
                <w:p w14:paraId="0B1E67D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5222" w:type="dxa"/>
                  <w:gridSpan w:val="2"/>
                </w:tcPr>
                <w:p w14:paraId="2AFBCEC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学生活动</w:t>
                  </w:r>
                </w:p>
              </w:tc>
            </w:tr>
            <w:tr w14:paraId="2EB0731F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9649" w:type="dxa"/>
                  <w:gridSpan w:val="3"/>
                </w:tcPr>
                <w:p w14:paraId="0CBBBA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环节一：</w:t>
                  </w:r>
                  <w:r>
                    <w:rPr>
                      <w:rFonts w:hint="default" w:ascii="Times New Roman" w:hAnsi="Times New Roman" w:eastAsia="方正仿宋_GBK" w:cs="Times New Roman"/>
                    </w:rPr>
                    <w:t>（根据课堂教与学的程序安排）</w:t>
                  </w:r>
                </w:p>
              </w:tc>
            </w:tr>
            <w:tr w14:paraId="1EC5A3F3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4427" w:type="dxa"/>
                </w:tcPr>
                <w:p w14:paraId="280942A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教师活动1</w:t>
                  </w:r>
                </w:p>
                <w:p w14:paraId="7CD577E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</w:rPr>
                    <w:t>（设计每个教学环节时，教师要呈现情境，提出驱动性问题及学习任务类型；对应学生活动，示范指导学科思想方法，关注课堂生成，纠正思维错误，恰当运用评价方式与评价工具开展持续评价，促进学习。下同）</w:t>
                  </w:r>
                </w:p>
              </w:tc>
              <w:tc>
                <w:tcPr>
                  <w:tcW w:w="5222" w:type="dxa"/>
                  <w:gridSpan w:val="2"/>
                </w:tcPr>
                <w:p w14:paraId="3916726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学生活动1</w:t>
                  </w:r>
                </w:p>
                <w:p w14:paraId="71A1E2A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</w:rPr>
                    <w:t>（学生在真实的问题情境中开展学习活动；围绕学习任务开展系列活动；与教的环节对应，学生通过分析任务、设计方案、解决问题、分享交流进行学习并有实际收获。下同）</w:t>
                  </w:r>
                </w:p>
                <w:p w14:paraId="16BC689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</w:p>
              </w:tc>
            </w:tr>
            <w:tr w14:paraId="5FDEDA8A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649" w:type="dxa"/>
                  <w:gridSpan w:val="3"/>
                </w:tcPr>
                <w:p w14:paraId="2D18EE0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default" w:ascii="Times New Roman" w:hAnsi="Times New Roman" w:eastAsia="方正仿宋_GBK" w:cs="Times New Roman"/>
                    </w:rPr>
                    <w:t>（简要说明教学环节、学习情境、学习活动等的组织与实施意图，预设学生可能出现的障碍，说明环节或活动对目标达成的意义和学生发展的意义。说出教与学活动的关联，关注课堂互动的层次与深度）</w:t>
                  </w:r>
                </w:p>
              </w:tc>
            </w:tr>
            <w:tr w14:paraId="4433B129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9649" w:type="dxa"/>
                  <w:gridSpan w:val="3"/>
                </w:tcPr>
                <w:p w14:paraId="5AEE4C1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环节二：</w:t>
                  </w:r>
                </w:p>
              </w:tc>
            </w:tr>
            <w:tr w14:paraId="6AF37685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4427" w:type="dxa"/>
                </w:tcPr>
                <w:p w14:paraId="375429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教师活动2</w:t>
                  </w:r>
                </w:p>
              </w:tc>
              <w:tc>
                <w:tcPr>
                  <w:tcW w:w="5222" w:type="dxa"/>
                  <w:gridSpan w:val="2"/>
                </w:tcPr>
                <w:p w14:paraId="3F04232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学生活动2</w:t>
                  </w:r>
                </w:p>
              </w:tc>
            </w:tr>
            <w:tr w14:paraId="0EAD420F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649" w:type="dxa"/>
                  <w:gridSpan w:val="3"/>
                </w:tcPr>
                <w:p w14:paraId="4121217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活动意图说明</w:t>
                  </w:r>
                </w:p>
              </w:tc>
            </w:tr>
            <w:tr w14:paraId="191EDD9F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649" w:type="dxa"/>
                  <w:gridSpan w:val="3"/>
                </w:tcPr>
                <w:p w14:paraId="2C52B22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……</w:t>
                  </w:r>
                </w:p>
              </w:tc>
            </w:tr>
            <w:tr w14:paraId="293F9CD2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649" w:type="dxa"/>
                  <w:gridSpan w:val="3"/>
                </w:tcPr>
                <w:p w14:paraId="582A0A5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环节三：</w:t>
                  </w:r>
                </w:p>
              </w:tc>
            </w:tr>
            <w:tr w14:paraId="527C7817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491" w:type="dxa"/>
                  <w:gridSpan w:val="2"/>
                </w:tcPr>
                <w:p w14:paraId="703F357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 xml:space="preserve">教师活动3                            </w:t>
                  </w:r>
                </w:p>
              </w:tc>
              <w:tc>
                <w:tcPr>
                  <w:tcW w:w="5158" w:type="dxa"/>
                </w:tcPr>
                <w:p w14:paraId="3DD6DEF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学生活动3</w:t>
                  </w:r>
                </w:p>
              </w:tc>
            </w:tr>
            <w:tr w14:paraId="21FD19AD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649" w:type="dxa"/>
                  <w:gridSpan w:val="3"/>
                </w:tcPr>
                <w:p w14:paraId="46FB27B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活动意图说明</w:t>
                  </w:r>
                </w:p>
              </w:tc>
            </w:tr>
            <w:tr w14:paraId="610294D3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9649" w:type="dxa"/>
                  <w:gridSpan w:val="3"/>
                </w:tcPr>
                <w:p w14:paraId="3F2CE9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baseline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……</w:t>
                  </w:r>
                </w:p>
              </w:tc>
            </w:tr>
          </w:tbl>
          <w:p w14:paraId="0A556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 w14:paraId="62DC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05D70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7.板书设计</w:t>
            </w:r>
            <w:r>
              <w:rPr>
                <w:rFonts w:hint="default" w:ascii="Times New Roman" w:hAnsi="Times New Roman" w:eastAsia="方正仿宋_GBK" w:cs="Times New Roman"/>
              </w:rPr>
              <w:t>（板书完整呈现教与学活动的过程，最好能呈现建构知识结构与思维发展的路径与关键点。使用PPT时应注意呈现学生学习过程的完整性）</w:t>
            </w:r>
          </w:p>
        </w:tc>
      </w:tr>
      <w:tr w14:paraId="76B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6C36F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8.作业设计</w:t>
            </w:r>
            <w:r>
              <w:rPr>
                <w:rFonts w:hint="default" w:ascii="Times New Roman" w:hAnsi="Times New Roman" w:eastAsia="方正仿宋_GBK" w:cs="Times New Roman"/>
              </w:rPr>
              <w:t>（关注作业的针对性、预计完成时间，发挥作业对复习巩固、引导学生深入学习的作用）</w:t>
            </w:r>
          </w:p>
        </w:tc>
      </w:tr>
      <w:tr w14:paraId="3079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261C0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9.教学反思与改进</w:t>
            </w:r>
            <w:r>
              <w:rPr>
                <w:rFonts w:hint="default" w:ascii="Times New Roman" w:hAnsi="Times New Roman" w:eastAsia="方正仿宋_GBK" w:cs="Times New Roman"/>
              </w:rPr>
              <w:t>（教与学的经验性总结，基于学情分析和目标达成度进行对比反思，教学自我评估与改进设想）</w:t>
            </w:r>
          </w:p>
        </w:tc>
      </w:tr>
      <w:tr w14:paraId="2EB1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E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说明：</w:t>
            </w:r>
          </w:p>
          <w:p w14:paraId="78D64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1）教学设计突出学生学习的主体地位，依据学科课程标准要求突出课时学习对学生发展的价值，设计情境化、活动化、任务化的学习活动，增强学生学习过程的体验性、实践性和整体性。日常工作中，教师“基本信息”可以简写。</w:t>
            </w:r>
          </w:p>
          <w:p w14:paraId="07A08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2）教学反思与改进突出课堂学习目标的达成度，依据学生的变化和本课教学的特色，从教学观念系统和操作系统两方面进行反思；教学设计和教学手段等是否合理，教学行为与教学目标是否一致，情境活动和师生关系等是否符合教学规律，等等。从设计、实施、评价、理念落实等方面找优点，并说明今后完善与改进不足的办法。教学反思与评价不要求面面俱到，但须真实客观。</w:t>
            </w:r>
          </w:p>
          <w:p w14:paraId="01831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baseline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3）教学设计、课堂实施和学习评价要保持一致性，目的是促进课堂“教-学-评”的改进。可依据课堂实施实际状况整理教学实录和教学案例，详细呈现某一课时的教学实践过程，呈现课堂中学生的学习资源、学习活动、学习表现;呈现教师引导(评价)学生深入学习的方式方法，从而分析学生在课堂每个环节中的实际表现和实际收获，突出课堂中学生学习活动与教师的示范、指导、评价等教学过程的对应。过程完整，资源齐全，任务具体，互动充分。</w:t>
            </w:r>
          </w:p>
        </w:tc>
      </w:tr>
    </w:tbl>
    <w:p w14:paraId="7EA39BE3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</w:pPr>
    </w:p>
    <w:p w14:paraId="20DDCF06"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重庆市2025年初中道德与法治学科优质课大赛日程安排</w:t>
      </w:r>
    </w:p>
    <w:p w14:paraId="5F170B0C">
      <w:pPr>
        <w:rPr>
          <w:rFonts w:hint="default" w:ascii="Times New Roman" w:hAnsi="Times New Roman" w:cs="Times New Roman"/>
        </w:rPr>
      </w:pPr>
    </w:p>
    <w:p w14:paraId="2CDDDCA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1.各区县、重庆市第一中学校、重庆市南开中学校、重庆市第八中学校、重庆市巴蜀中学校、重庆市育才中学校、西南大学附属中学校、重庆外国语学校、重庆巴蜀中学校（张家花园校区）务必做好备赛工作，并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于11月15日18：00前扫描附件中二维码完成优质课大赛参赛教师报名工作。</w:t>
      </w:r>
    </w:p>
    <w:p w14:paraId="60BE4DE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2.参赛教师于11月22日18：00前扫描附件中的二维码，按要求填写参赛信息并上传教学设计。</w:t>
      </w:r>
    </w:p>
    <w:p w14:paraId="0F75F4C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3.评委、参赛教师于11月25日下午14:30在重庆巴蜀中学校（张家花园校区）报到。评委报到后于15:00参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加评委会；参赛教师报到后于16:00参加参赛选手会，会后可按抽签决定的授课顺序依次在授课现场调试课件。</w:t>
      </w:r>
    </w:p>
    <w:p w14:paraId="439117A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4.参赛教师可于比赛前一天的晚上（18：00-20：00）与执教班级学生见面，见面总时间不得超过10分钟。</w:t>
      </w:r>
    </w:p>
    <w:p w14:paraId="7ABBB721">
      <w:pPr>
        <w:spacing w:line="360" w:lineRule="auto"/>
        <w:jc w:val="left"/>
        <w:rPr>
          <w:rStyle w:val="5"/>
          <w:rFonts w:hint="default" w:ascii="Times New Roman" w:hAnsi="Times New Roman" w:eastAsia="仿宋" w:cs="Times New Roman"/>
          <w:kern w:val="0"/>
        </w:rPr>
      </w:pPr>
    </w:p>
    <w:p w14:paraId="0A29C138">
      <w:pPr>
        <w:spacing w:line="360" w:lineRule="auto"/>
        <w:jc w:val="left"/>
        <w:rPr>
          <w:rStyle w:val="5"/>
          <w:rFonts w:hint="default" w:ascii="Times New Roman" w:hAnsi="Times New Roman" w:eastAsia="仿宋" w:cs="Times New Roman"/>
          <w:kern w:val="0"/>
        </w:rPr>
      </w:pPr>
    </w:p>
    <w:p w14:paraId="2063B48F">
      <w:pPr>
        <w:spacing w:line="360" w:lineRule="auto"/>
        <w:jc w:val="left"/>
        <w:rPr>
          <w:rStyle w:val="5"/>
          <w:rFonts w:hint="default" w:ascii="Times New Roman" w:hAnsi="Times New Roman" w:eastAsia="方正仿宋_GBK" w:cs="Times New Roman"/>
          <w:kern w:val="0"/>
        </w:rPr>
      </w:pPr>
    </w:p>
    <w:p w14:paraId="3A03A239"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559" w:right="1474" w:bottom="1559" w:left="1361" w:header="992" w:footer="567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1A346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2CA1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2CA1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C6D26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3ECF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F3ECF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71A2B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9971A2B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2025-10-11T06:43:00Z</dcterms:created>
  <dc:creator>周念珠</dc:creator>
  <cp:lastModifiedBy>周念珠</cp:lastModifiedBy>
  <dcterms:modified xsi:type="dcterms:W3CDTF">2025-10-11T06:44:10Z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50AA3A9D16C749DA8A487355CA231B50_11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