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A3E6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7D09BFAF">
      <w:pPr>
        <w:pStyle w:val="6"/>
        <w:ind w:firstLine="88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研讨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活动安排表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712"/>
        <w:gridCol w:w="1250"/>
        <w:gridCol w:w="4056"/>
        <w:gridCol w:w="1155"/>
      </w:tblGrid>
      <w:tr w14:paraId="1B27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99" w:type="dxa"/>
            <w:gridSpan w:val="2"/>
            <w:noWrap w:val="0"/>
            <w:vAlign w:val="top"/>
          </w:tcPr>
          <w:p w14:paraId="4C6F29F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2"/>
              </w:rPr>
              <w:t>时间</w:t>
            </w:r>
          </w:p>
        </w:tc>
        <w:tc>
          <w:tcPr>
            <w:tcW w:w="1250" w:type="dxa"/>
            <w:noWrap w:val="0"/>
            <w:vAlign w:val="top"/>
          </w:tcPr>
          <w:p w14:paraId="6C63F9F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2"/>
              </w:rPr>
              <w:t>地点</w:t>
            </w:r>
          </w:p>
        </w:tc>
        <w:tc>
          <w:tcPr>
            <w:tcW w:w="4056" w:type="dxa"/>
            <w:noWrap w:val="0"/>
            <w:vAlign w:val="top"/>
          </w:tcPr>
          <w:p w14:paraId="657CC5F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2"/>
              </w:rPr>
              <w:t>活动内容</w:t>
            </w:r>
          </w:p>
        </w:tc>
        <w:tc>
          <w:tcPr>
            <w:tcW w:w="1155" w:type="dxa"/>
            <w:noWrap w:val="0"/>
            <w:vAlign w:val="top"/>
          </w:tcPr>
          <w:p w14:paraId="452BD0B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2"/>
                <w:lang w:val="en-US" w:eastAsia="zh-CN"/>
              </w:rPr>
              <w:t>主持人</w:t>
            </w:r>
          </w:p>
        </w:tc>
      </w:tr>
      <w:tr w14:paraId="4E06D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restart"/>
            <w:noWrap w:val="0"/>
            <w:vAlign w:val="center"/>
          </w:tcPr>
          <w:p w14:paraId="6D86ECCA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2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日</w:t>
            </w:r>
          </w:p>
        </w:tc>
        <w:tc>
          <w:tcPr>
            <w:tcW w:w="1712" w:type="dxa"/>
            <w:noWrap w:val="0"/>
            <w:vAlign w:val="center"/>
          </w:tcPr>
          <w:p w14:paraId="1C2C0DA3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:00-9: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</w:t>
            </w:r>
          </w:p>
        </w:tc>
        <w:tc>
          <w:tcPr>
            <w:tcW w:w="1250" w:type="dxa"/>
            <w:noWrap w:val="0"/>
            <w:vAlign w:val="center"/>
          </w:tcPr>
          <w:p w14:paraId="13D3823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报到处</w:t>
            </w:r>
          </w:p>
        </w:tc>
        <w:tc>
          <w:tcPr>
            <w:tcW w:w="4056" w:type="dxa"/>
            <w:noWrap w:val="0"/>
            <w:vAlign w:val="center"/>
          </w:tcPr>
          <w:p w14:paraId="64A98C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参会人员报到</w:t>
            </w:r>
          </w:p>
        </w:tc>
        <w:tc>
          <w:tcPr>
            <w:tcW w:w="1155" w:type="dxa"/>
            <w:noWrap w:val="0"/>
            <w:vAlign w:val="center"/>
          </w:tcPr>
          <w:p w14:paraId="7C863A90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石光成</w:t>
            </w:r>
          </w:p>
        </w:tc>
      </w:tr>
      <w:tr w14:paraId="2759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noWrap w:val="0"/>
            <w:vAlign w:val="top"/>
          </w:tcPr>
          <w:p w14:paraId="6FB15DA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4EC9AC1E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0-9: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20</w:t>
            </w:r>
          </w:p>
        </w:tc>
        <w:tc>
          <w:tcPr>
            <w:tcW w:w="1250" w:type="dxa"/>
            <w:noWrap w:val="0"/>
            <w:vAlign w:val="center"/>
          </w:tcPr>
          <w:p w14:paraId="2DE6C91A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厅</w:t>
            </w:r>
          </w:p>
        </w:tc>
        <w:tc>
          <w:tcPr>
            <w:tcW w:w="4056" w:type="dxa"/>
            <w:noWrap w:val="0"/>
            <w:vAlign w:val="center"/>
          </w:tcPr>
          <w:p w14:paraId="3789E4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2"/>
                <w:lang w:val="en-US" w:eastAsia="zh-CN"/>
              </w:rPr>
              <w:t>活动致辞（20分钟）</w:t>
            </w:r>
          </w:p>
          <w:p w14:paraId="555DFE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1.承办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、协办等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单位领导致辞</w:t>
            </w:r>
          </w:p>
          <w:p w14:paraId="267C29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2.重庆市教科院领导讲话</w:t>
            </w:r>
          </w:p>
          <w:p w14:paraId="4FB11B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3.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交通运输大类“揭榜挂帅”项目集体启动仪式</w:t>
            </w:r>
          </w:p>
        </w:tc>
        <w:tc>
          <w:tcPr>
            <w:tcW w:w="1155" w:type="dxa"/>
            <w:noWrap w:val="0"/>
            <w:vAlign w:val="center"/>
          </w:tcPr>
          <w:p w14:paraId="39846F27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教科院职成所领导</w:t>
            </w:r>
          </w:p>
        </w:tc>
      </w:tr>
      <w:tr w14:paraId="7590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87" w:type="dxa"/>
            <w:vMerge w:val="continue"/>
            <w:noWrap w:val="0"/>
            <w:vAlign w:val="top"/>
          </w:tcPr>
          <w:p w14:paraId="5EF94AC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27281F9D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9: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5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4602679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门口</w:t>
            </w:r>
          </w:p>
        </w:tc>
        <w:tc>
          <w:tcPr>
            <w:tcW w:w="4056" w:type="dxa"/>
            <w:noWrap w:val="0"/>
            <w:vAlign w:val="center"/>
          </w:tcPr>
          <w:p w14:paraId="1EB993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合影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79F7257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2"/>
                <w:lang w:val="en-US" w:eastAsia="zh-CN" w:bidi="ar-SA"/>
              </w:rPr>
              <w:t>石光成</w:t>
            </w:r>
          </w:p>
        </w:tc>
      </w:tr>
      <w:tr w14:paraId="3D0B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noWrap w:val="0"/>
            <w:vAlign w:val="top"/>
          </w:tcPr>
          <w:p w14:paraId="31FC240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 w14:paraId="5EEB0F1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520CC94D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厅</w:t>
            </w:r>
          </w:p>
        </w:tc>
        <w:tc>
          <w:tcPr>
            <w:tcW w:w="4056" w:type="dxa"/>
            <w:shd w:val="clear" w:color="auto" w:fill="auto"/>
            <w:noWrap w:val="0"/>
            <w:vAlign w:val="center"/>
          </w:tcPr>
          <w:p w14:paraId="2E310A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rPr>
                <w:rFonts w:hint="eastAsia" w:cs="Times New Roman"/>
                <w:b/>
                <w:bCs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2"/>
                <w:lang w:val="en-US" w:eastAsia="zh-CN"/>
              </w:rPr>
              <w:t>专题</w:t>
            </w:r>
            <w:r>
              <w:rPr>
                <w:rFonts w:hint="eastAsia" w:cs="Times New Roman"/>
                <w:b/>
                <w:bCs/>
                <w:sz w:val="28"/>
                <w:szCs w:val="22"/>
                <w:lang w:val="en-US" w:eastAsia="zh-CN"/>
              </w:rPr>
              <w:t>报告（90分钟）</w:t>
            </w:r>
          </w:p>
          <w:p w14:paraId="19820B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《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中高本交通运输大类新版专业教学标准的内涵与实践路径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》--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重庆工业职业技术学院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李雷教授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09FC46EF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教科院职成所领导</w:t>
            </w:r>
          </w:p>
        </w:tc>
      </w:tr>
      <w:tr w14:paraId="0C7B0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noWrap w:val="0"/>
            <w:vAlign w:val="top"/>
          </w:tcPr>
          <w:p w14:paraId="131FFD9E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 w14:paraId="164C00C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56A93A0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厅</w:t>
            </w:r>
          </w:p>
        </w:tc>
        <w:tc>
          <w:tcPr>
            <w:tcW w:w="4056" w:type="dxa"/>
            <w:shd w:val="clear" w:color="auto" w:fill="auto"/>
            <w:noWrap w:val="0"/>
            <w:vAlign w:val="center"/>
          </w:tcPr>
          <w:p w14:paraId="1C9EB6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2"/>
                <w:lang w:val="en-US" w:eastAsia="zh-CN"/>
              </w:rPr>
              <w:t>产教报告（60分钟）</w:t>
            </w:r>
          </w:p>
          <w:p w14:paraId="594ED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《德国双元制教育模式在中国职教体系中的应用》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德国联邦中小企业联合会中国区常务代表 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王洋</w:t>
            </w:r>
          </w:p>
          <w:p w14:paraId="48CAC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2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  <w:t>《中国特色双元制教育模式下的产业学院建设》车百中汽科技（北京）有限公司校企合作中心主任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  <w:t>熊轶群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07340534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付勇</w:t>
            </w:r>
          </w:p>
        </w:tc>
      </w:tr>
      <w:tr w14:paraId="6202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noWrap w:val="0"/>
            <w:vAlign w:val="top"/>
          </w:tcPr>
          <w:p w14:paraId="556089F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 w14:paraId="7B0FC927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5AC33640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食堂</w:t>
            </w:r>
          </w:p>
        </w:tc>
        <w:tc>
          <w:tcPr>
            <w:tcW w:w="4056" w:type="dxa"/>
            <w:shd w:val="clear" w:color="auto" w:fill="auto"/>
            <w:noWrap w:val="0"/>
            <w:vAlign w:val="center"/>
          </w:tcPr>
          <w:p w14:paraId="4BF45F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午餐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59D0FBF5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2"/>
                <w:lang w:val="en-US" w:eastAsia="zh-CN" w:bidi="ar-SA"/>
              </w:rPr>
              <w:t>石光成</w:t>
            </w:r>
          </w:p>
        </w:tc>
      </w:tr>
      <w:tr w14:paraId="60E9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noWrap w:val="0"/>
            <w:vAlign w:val="top"/>
          </w:tcPr>
          <w:p w14:paraId="49A6A12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 w14:paraId="03AD0AA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07BA676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2"/>
                <w:lang w:val="en-US" w:eastAsia="zh-CN" w:bidi="ar-SA"/>
              </w:rPr>
              <w:t>实训基地</w:t>
            </w:r>
          </w:p>
        </w:tc>
        <w:tc>
          <w:tcPr>
            <w:tcW w:w="4056" w:type="dxa"/>
            <w:shd w:val="clear" w:color="auto" w:fill="auto"/>
            <w:noWrap w:val="0"/>
            <w:vAlign w:val="center"/>
          </w:tcPr>
          <w:p w14:paraId="44BC04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2"/>
                <w:lang w:val="en-US" w:eastAsia="zh-CN"/>
              </w:rPr>
              <w:t>现场教学（60分钟）</w:t>
            </w:r>
          </w:p>
          <w:p w14:paraId="0FA3E1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1.观摩学习：新能源汽车实训基地建设交流</w:t>
            </w:r>
          </w:p>
          <w:p w14:paraId="60000E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>2.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展示交流：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>《智慧职教系统在新能源汽车专业教学中应用》重庆市巴南职业教育中心 王代彬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62598110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2"/>
                <w:lang w:val="en-US" w:eastAsia="zh-CN" w:bidi="ar-SA"/>
              </w:rPr>
              <w:t>石光成</w:t>
            </w:r>
          </w:p>
        </w:tc>
      </w:tr>
      <w:tr w14:paraId="5026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noWrap w:val="0"/>
            <w:vAlign w:val="top"/>
          </w:tcPr>
          <w:p w14:paraId="577F54C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 w14:paraId="55882C7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: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0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3CA9B550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4056" w:type="dxa"/>
            <w:shd w:val="clear" w:color="auto" w:fill="auto"/>
            <w:noWrap w:val="0"/>
            <w:vAlign w:val="center"/>
          </w:tcPr>
          <w:p w14:paraId="01737E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茶歇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0D5D8E0E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2"/>
                <w:lang w:val="en-US" w:eastAsia="zh-CN" w:bidi="ar-SA"/>
              </w:rPr>
              <w:t>石光成</w:t>
            </w:r>
          </w:p>
        </w:tc>
      </w:tr>
      <w:tr w14:paraId="4A831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87" w:type="dxa"/>
            <w:vMerge w:val="continue"/>
            <w:noWrap w:val="0"/>
            <w:vAlign w:val="top"/>
          </w:tcPr>
          <w:p w14:paraId="63A104D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 w14:paraId="12E42DCA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: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0-1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:</w:t>
            </w: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10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52F02235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厅</w:t>
            </w:r>
          </w:p>
        </w:tc>
        <w:tc>
          <w:tcPr>
            <w:tcW w:w="4056" w:type="dxa"/>
            <w:shd w:val="clear" w:color="auto" w:fill="auto"/>
            <w:noWrap w:val="0"/>
            <w:vAlign w:val="center"/>
          </w:tcPr>
          <w:p w14:paraId="1C0B5A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atLeas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28"/>
                <w:szCs w:val="22"/>
                <w:lang w:val="en-US" w:eastAsia="zh-CN"/>
              </w:rPr>
              <w:t>贯通培养实践反思（80分钟）</w:t>
            </w:r>
          </w:p>
          <w:p w14:paraId="1747D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atLeast"/>
              <w:ind w:left="0" w:leftChars="0" w:right="0" w:rightChars="0"/>
              <w:jc w:val="left"/>
              <w:textAlignment w:val="auto"/>
              <w:rPr>
                <w:rFonts w:hint="eastAsia" w:cs="Times New Roman"/>
                <w:color w:val="auto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2"/>
                <w:lang w:val="en-US" w:eastAsia="zh-CN"/>
              </w:rPr>
              <w:t>1.</w:t>
            </w:r>
            <w:r>
              <w:rPr>
                <w:rFonts w:hint="eastAsia" w:cs="Times New Roman"/>
                <w:color w:val="auto"/>
                <w:kern w:val="2"/>
                <w:sz w:val="28"/>
                <w:szCs w:val="22"/>
                <w:lang w:val="en-US" w:eastAsia="zh-CN" w:bidi="ar-SA"/>
              </w:rPr>
              <w:t>《中高贯通培养学业质量“通专立体”评价模式研究》重庆市教育科学研究院  付勇</w:t>
            </w:r>
          </w:p>
          <w:p w14:paraId="5B4A0D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atLeas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2"/>
                <w:lang w:val="en-US" w:eastAsia="zh-CN"/>
              </w:rPr>
              <w:t>2.</w:t>
            </w:r>
            <w:r>
              <w:rPr>
                <w:rFonts w:hint="eastAsia" w:cs="Times New Roman"/>
                <w:color w:val="auto"/>
                <w:kern w:val="2"/>
                <w:sz w:val="28"/>
                <w:szCs w:val="22"/>
                <w:lang w:val="en-US" w:eastAsia="zh-CN" w:bidi="ar-SA"/>
              </w:rPr>
              <w:t>《中高职贯通培养的万州实践经验》 重庆市万州职业教育中心  彭超</w:t>
            </w:r>
          </w:p>
          <w:p w14:paraId="63BFD4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atLeast"/>
              <w:ind w:left="0" w:leftChars="0" w:right="0" w:rightChars="0"/>
              <w:jc w:val="left"/>
              <w:textAlignment w:val="auto"/>
              <w:rPr>
                <w:rFonts w:hint="default" w:cs="Times New Roman"/>
                <w:color w:val="auto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8"/>
                <w:szCs w:val="22"/>
                <w:lang w:val="en-US" w:eastAsia="zh-CN" w:bidi="ar-SA"/>
              </w:rPr>
              <w:t>3.《智能制造贯通培养的川仪实践经验》 四川仪表工业学校  陈雅娟</w:t>
            </w:r>
          </w:p>
          <w:p w14:paraId="4D5A10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atLeast"/>
              <w:ind w:left="0" w:leftChars="0" w:right="0" w:rightChars="0"/>
              <w:jc w:val="left"/>
              <w:textAlignment w:val="auto"/>
              <w:rPr>
                <w:rFonts w:hint="eastAsia" w:cs="Times New Roman"/>
                <w:color w:val="auto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8"/>
                <w:szCs w:val="22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2"/>
                <w:lang w:val="en-US" w:eastAsia="zh-CN" w:bidi="ar-SA"/>
              </w:rPr>
              <w:t xml:space="preserve">《基于产教融合的职业教育“三教”改革探索与实践》重庆市中等职业学校石光成“双师型”名师工作室 石光成 </w:t>
            </w:r>
          </w:p>
          <w:p w14:paraId="355191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atLeast"/>
              <w:ind w:left="0" w:leftChars="0" w:right="0" w:rightChars="0"/>
              <w:jc w:val="left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8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2"/>
                <w:lang w:val="en-US" w:eastAsia="zh-CN" w:bidi="ar-SA"/>
              </w:rPr>
              <w:t>.《聚焦“教学练用”一体化，打造中高贯通人才培养新范式》重庆市中等职业学校胡振川“双师型”名师工作室 胡振川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6FFEE73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2"/>
                <w:lang w:val="en-US" w:eastAsia="zh-CN"/>
              </w:rPr>
              <w:t>刘川华</w:t>
            </w:r>
          </w:p>
        </w:tc>
      </w:tr>
    </w:tbl>
    <w:p w14:paraId="3467A9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331D7"/>
    <w:rsid w:val="012C4639"/>
    <w:rsid w:val="086C5E40"/>
    <w:rsid w:val="0AC94734"/>
    <w:rsid w:val="1289341C"/>
    <w:rsid w:val="165C7AFF"/>
    <w:rsid w:val="1895699B"/>
    <w:rsid w:val="257A6B2F"/>
    <w:rsid w:val="2C8D25F9"/>
    <w:rsid w:val="2CAA5BAA"/>
    <w:rsid w:val="2FD141BC"/>
    <w:rsid w:val="30042AC8"/>
    <w:rsid w:val="32EF6914"/>
    <w:rsid w:val="34A34242"/>
    <w:rsid w:val="3CEF5962"/>
    <w:rsid w:val="3E1331D7"/>
    <w:rsid w:val="3E725140"/>
    <w:rsid w:val="42A336EA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DB50101"/>
    <w:rsid w:val="6EFD25CC"/>
    <w:rsid w:val="716218D9"/>
    <w:rsid w:val="785364CC"/>
    <w:rsid w:val="78BB2B0E"/>
    <w:rsid w:val="794200D5"/>
    <w:rsid w:val="7E7963E5"/>
    <w:rsid w:val="7E8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spacing w:before="100" w:beforeAutospacing="1" w:line="560" w:lineRule="exact"/>
      <w:ind w:firstLine="420" w:firstLineChars="100"/>
    </w:pPr>
    <w:rPr>
      <w:sz w:val="32"/>
      <w:szCs w:val="3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6">
    <w:name w:val="样式1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2025-02-28T02:38:00Z</dcterms:created>
  <dc:creator> </dc:creator>
  <cp:lastModifiedBy> </cp:lastModifiedBy>
  <dcterms:modified xsi:type="dcterms:W3CDTF">2025-02-28T02:38:36Z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AC434785A6124E509FB9F8A7E7462FAD_11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