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3</w:t>
      </w:r>
    </w:p>
    <w:p>
      <w:pPr>
        <w:adjustRightInd w:val="0"/>
        <w:snapToGrid w:val="0"/>
        <w:spacing w:after="156" w:afterLines="50"/>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rPr>
        <w:t>重庆市职业院校教师教学创新团队建设质量考核指标</w:t>
      </w:r>
      <w:bookmarkEnd w:id="0"/>
    </w:p>
    <w:tbl>
      <w:tblPr>
        <w:tblStyle w:val="3"/>
        <w:tblW w:w="13679" w:type="dxa"/>
        <w:jc w:val="center"/>
        <w:tblLayout w:type="fixed"/>
        <w:tblCellMar>
          <w:top w:w="0" w:type="dxa"/>
          <w:left w:w="108" w:type="dxa"/>
          <w:bottom w:w="0" w:type="dxa"/>
          <w:right w:w="108" w:type="dxa"/>
        </w:tblCellMar>
      </w:tblPr>
      <w:tblGrid>
        <w:gridCol w:w="1224"/>
        <w:gridCol w:w="1948"/>
        <w:gridCol w:w="10507"/>
      </w:tblGrid>
      <w:tr>
        <w:tblPrEx>
          <w:tblCellMar>
            <w:top w:w="0" w:type="dxa"/>
            <w:left w:w="108" w:type="dxa"/>
            <w:bottom w:w="0" w:type="dxa"/>
            <w:right w:w="108" w:type="dxa"/>
          </w:tblCellMar>
        </w:tblPrEx>
        <w:trPr>
          <w:trHeight w:val="392" w:hRule="atLeast"/>
          <w:tblHeader/>
          <w:jc w:val="center"/>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lang w:bidi="ar"/>
              </w:rPr>
              <w:t>一级指标</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lang w:bidi="ar"/>
              </w:rPr>
              <w:t>二级指标</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Cs w:val="21"/>
              </w:rPr>
            </w:pPr>
            <w:r>
              <w:rPr>
                <w:rFonts w:ascii="Times New Roman" w:hAnsi="Times New Roman" w:eastAsia="黑体" w:cs="Times New Roman"/>
                <w:color w:val="000000"/>
                <w:kern w:val="0"/>
                <w:szCs w:val="21"/>
                <w:lang w:bidi="ar"/>
              </w:rPr>
              <w:t>基本要求</w:t>
            </w:r>
          </w:p>
        </w:tc>
      </w:tr>
      <w:tr>
        <w:tblPrEx>
          <w:tblCellMar>
            <w:top w:w="0" w:type="dxa"/>
            <w:left w:w="108" w:type="dxa"/>
            <w:bottom w:w="0" w:type="dxa"/>
            <w:right w:w="108" w:type="dxa"/>
          </w:tblCellMar>
        </w:tblPrEx>
        <w:trPr>
          <w:trHeight w:val="752" w:hRule="atLeast"/>
          <w:jc w:val="center"/>
        </w:trPr>
        <w:tc>
          <w:tcPr>
            <w:tcW w:w="1224"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A1.学校管理（20')</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B1.高度重视（6')</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加强党对教师队伍建设的全面领导，列为一把手工程，学校主要负责人牵头成立工作专班，明确分管领导</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学校把团队建设工作纳入学校教师队伍建设发展规划和年度重点工作，定期研究团队建设工作</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学校合理确定团队建设负责部门，明确职责任务，积极推进团队建设</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学校积极开展各级团队建设，多层次团队统筹管理、同频共振</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B2.制度保障（4')</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学校制定团队教师学历提升、境内外访学研修、企业实践、课题研究、职称晋升等支持政策</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学校制定出台团队建设总体方案，思路清晰，定位精准，目标科学，相关制度配套完善</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B3.经费支持（4')</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建设周期有持续的专项经费支持，创新团队建设经费纳入年度预算</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学校鼓励创新团队通过校企合作、申报课题、社会服务等多种途径积极筹措发展资金</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B4.过程管理（6')</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学校制定出台团队建设管理办法，严格日常监管</w:t>
            </w:r>
          </w:p>
        </w:tc>
      </w:tr>
      <w:tr>
        <w:tblPrEx>
          <w:tblCellMar>
            <w:top w:w="0" w:type="dxa"/>
            <w:left w:w="108" w:type="dxa"/>
            <w:bottom w:w="0" w:type="dxa"/>
            <w:right w:w="108" w:type="dxa"/>
          </w:tblCellMar>
        </w:tblPrEx>
        <w:trPr>
          <w:trHeight w:val="75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学校制定团队评价指标，定期对团队建设情况进行指导诊断、评估，评价结果在绩效考核、评先评优等工作中有所反馈</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left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学校加强团队建设经费管理，严格履行预决算制度和程序，经费支出执行相关财务规定，标准合规、程序规范、票据齐全</w:t>
            </w:r>
          </w:p>
        </w:tc>
      </w:tr>
      <w:tr>
        <w:tblPrEx>
          <w:tblCellMar>
            <w:top w:w="0" w:type="dxa"/>
            <w:left w:w="108" w:type="dxa"/>
            <w:bottom w:w="0" w:type="dxa"/>
            <w:right w:w="108" w:type="dxa"/>
          </w:tblCellMar>
        </w:tblPrEx>
        <w:trPr>
          <w:trHeight w:val="392" w:hRule="atLeast"/>
          <w:jc w:val="center"/>
        </w:trPr>
        <w:tc>
          <w:tcPr>
            <w:tcW w:w="1224"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学校及时报送团队建设工作月报、年度工作报告、研修安排表、过程管理资料、中期及终期工作总结、绩效报告、典型案例等相关资料</w:t>
            </w:r>
          </w:p>
        </w:tc>
      </w:tr>
      <w:tr>
        <w:tblPrEx>
          <w:tblCellMar>
            <w:top w:w="0" w:type="dxa"/>
            <w:left w:w="108" w:type="dxa"/>
            <w:bottom w:w="0" w:type="dxa"/>
            <w:right w:w="108" w:type="dxa"/>
          </w:tblCellMar>
        </w:tblPrEx>
        <w:trPr>
          <w:trHeight w:val="90"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A2.团队建设（30')</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B5.目标规划（4')</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围绕团队建设总体方案，细化制定团队具体实施计划，做到内容衔接配套，举措可操作、可落地，效果可评估</w:t>
            </w:r>
          </w:p>
        </w:tc>
      </w:tr>
      <w:tr>
        <w:tblPrEx>
          <w:tblCellMar>
            <w:top w:w="0" w:type="dxa"/>
            <w:left w:w="108" w:type="dxa"/>
            <w:bottom w:w="0" w:type="dxa"/>
            <w:right w:w="108" w:type="dxa"/>
          </w:tblCellMar>
        </w:tblPrEx>
        <w:trPr>
          <w:trHeight w:val="173"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团队围绕具体实施计划，按年度制定工作计划，明确年度目标任务、责任分工、实施路径和绩效考核</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B6.师德师风（6')</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加强师德师风建设，大力弘扬教育家精神、职业精神、工匠精神</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把师德师风作为团队成员评价的第一标准，形成师德师风建设的长效机制</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团队负责人及成员师德师风良好，无违规违纪违反师德师风等情况</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B7.团队结构稳定优化（4')</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团队成员专业结构、职称结构和年龄结构合理，优势互补</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团队突出双师结构，专任教师和企业兼职人员分工明确、责任到人</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成员相对稳定，建设期内人员调整比例不超过30%</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B8.团队负责人能力提升和作用发挥（5')</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团队负责人领导力显著，能够积极发挥带头作用</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团队负责人能力提升措施得当、成效明显</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无特殊情况不得更换团队负责人</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B9.建设范式（6')</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创新团队建设方法路径，建有完善的运行机制，形成本团队建设模式</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对本团队建设模式进行提炼，形成可推广、可复制、有创新的团队建设范式和典型案例</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B10.过程管理（5')</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制定团队建设管理细则，加强团队运行管理，实现团队管理数字化、全程化、立体化</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建立团队建设方案、组织结构等优化调整机制，实现团队建设可持续发展</w:t>
            </w:r>
          </w:p>
        </w:tc>
      </w:tr>
      <w:tr>
        <w:tblPrEx>
          <w:tblCellMar>
            <w:top w:w="0" w:type="dxa"/>
            <w:left w:w="108" w:type="dxa"/>
            <w:bottom w:w="0" w:type="dxa"/>
            <w:right w:w="108" w:type="dxa"/>
          </w:tblCellMar>
        </w:tblPrEx>
        <w:trPr>
          <w:trHeight w:val="634"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运用信息化手段提高团队管理效能，实现数据输入、进程管理、资源共享、数据生成、绩效评价等各个环节全覆盖</w:t>
            </w:r>
          </w:p>
        </w:tc>
      </w:tr>
      <w:tr>
        <w:tblPrEx>
          <w:tblCellMar>
            <w:top w:w="0" w:type="dxa"/>
            <w:left w:w="108" w:type="dxa"/>
            <w:bottom w:w="0" w:type="dxa"/>
            <w:right w:w="108" w:type="dxa"/>
          </w:tblCellMar>
        </w:tblPrEx>
        <w:trPr>
          <w:trHeight w:val="682"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A3.教师能力提（40')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B11.提升规划（10')</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制定科学合理的团队成员整体能力提升方案和有针对性的个人发展计划，明确标准要求和考核评价体系</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B12.发展平台（10')</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搭建多种类型教师研修平台，设立相关研修项目，调动团队成员积极参与</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借助政府、行业企业、民间组织等优质资源，拓宽教师成长通道</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与企业深度合作，建立教师实践基地等，助力团队成员双师素质提升</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B13.方法举措及成效（20')</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积极开展教师能力建设，方法得当、形式多样</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定期对教师能力和专业水平开展评价，适时优化调整建设举措和个人成长计划</w:t>
            </w:r>
          </w:p>
        </w:tc>
      </w:tr>
      <w:tr>
        <w:tblPrEx>
          <w:tblCellMar>
            <w:top w:w="0" w:type="dxa"/>
            <w:left w:w="108" w:type="dxa"/>
            <w:bottom w:w="0" w:type="dxa"/>
            <w:right w:w="108" w:type="dxa"/>
          </w:tblCellMar>
        </w:tblPrEx>
        <w:trPr>
          <w:trHeight w:val="75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教师能力提升效果明显，团队成员取得一定成果，在个人成长和荣誉获得等方面取得一定成绩；每位成员提交一节优质教学设计方案、课件、微课及课堂实录（调整人员成果认定为在团队期间所取得的成果，进入前和退出后的成果不计入）</w:t>
            </w:r>
          </w:p>
        </w:tc>
      </w:tr>
      <w:tr>
        <w:tblPrEx>
          <w:tblCellMar>
            <w:top w:w="0" w:type="dxa"/>
            <w:left w:w="108" w:type="dxa"/>
            <w:bottom w:w="0" w:type="dxa"/>
            <w:right w:w="108" w:type="dxa"/>
          </w:tblCellMar>
        </w:tblPrEx>
        <w:trPr>
          <w:trHeight w:val="392"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A4.团队协作（20')</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B14.协同机制（7')</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加强校校协同、校企协同机制研究，探索建立协同运行模式</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积极参与共同体、协作体和联盟等，拓宽合作交流渠道，自觉承担相应职责、履行相关义务</w:t>
            </w:r>
          </w:p>
        </w:tc>
      </w:tr>
      <w:tr>
        <w:tblPrEx>
          <w:tblCellMar>
            <w:top w:w="0" w:type="dxa"/>
            <w:left w:w="108" w:type="dxa"/>
            <w:bottom w:w="0" w:type="dxa"/>
            <w:right w:w="108" w:type="dxa"/>
          </w:tblCellMar>
        </w:tblPrEx>
        <w:trPr>
          <w:trHeight w:val="75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B15.校校协同（7')</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团队在共同体框架下，围绕资源共享、师资培养培训、课题研究、协同创新以及教学改革等方面展开深度合作</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市级团队示范引领和辐射带动作用明显，促进各级团队组网融通、资源共建共享</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B16.校企协同（6')</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企业深度参与团队建设，能够为团队教师提供实践岗位，支持团队教师双师素质提升和专业发展</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团队与合作企业，实现学校资源和企业资源优势互补、共建共享共用</w:t>
            </w:r>
          </w:p>
        </w:tc>
      </w:tr>
      <w:tr>
        <w:tblPrEx>
          <w:tblCellMar>
            <w:top w:w="0" w:type="dxa"/>
            <w:left w:w="108" w:type="dxa"/>
            <w:bottom w:w="0" w:type="dxa"/>
            <w:right w:w="108" w:type="dxa"/>
          </w:tblCellMar>
        </w:tblPrEx>
        <w:trPr>
          <w:trHeight w:val="752"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A5.课程建设（30')</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B17.课程体系（11')</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开展行业企业调研，了解岗位需求和用人标准，明晰专业定位和人才培养规格，重构课程体系，修订人才培养方案</w:t>
            </w:r>
          </w:p>
        </w:tc>
      </w:tr>
      <w:tr>
        <w:tblPrEx>
          <w:tblCellMar>
            <w:top w:w="0" w:type="dxa"/>
            <w:left w:w="108" w:type="dxa"/>
            <w:bottom w:w="0" w:type="dxa"/>
            <w:right w:w="108" w:type="dxa"/>
          </w:tblCellMar>
        </w:tblPrEx>
        <w:trPr>
          <w:trHeight w:val="75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B18.课程标准（11')</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按照真实工作岗位和典型工作任务需要的知识和技能制定课程标准，把职业技能等级标准、技能大赛评判标准以及行业企业新技术、新工艺、新规范和企业优质培训课程等资源融入专业课程</w:t>
            </w:r>
          </w:p>
        </w:tc>
      </w:tr>
      <w:tr>
        <w:tblPrEx>
          <w:tblCellMar>
            <w:top w:w="0" w:type="dxa"/>
            <w:left w:w="108" w:type="dxa"/>
            <w:bottom w:w="0" w:type="dxa"/>
            <w:right w:w="108" w:type="dxa"/>
          </w:tblCellMar>
        </w:tblPrEx>
        <w:trPr>
          <w:trHeight w:val="75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研究制定模块化课程设置方案，按照人才培养目标，结合职业岗位（群）能力要求，开发和完善教学实施方案</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B19.课程资源（8')</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搭建课程平台，建设智能化教学支持环境下的课程资源</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校企双元开发相匹配的优质教材</w:t>
            </w:r>
          </w:p>
        </w:tc>
      </w:tr>
      <w:tr>
        <w:tblPrEx>
          <w:tblCellMar>
            <w:top w:w="0" w:type="dxa"/>
            <w:left w:w="108" w:type="dxa"/>
            <w:bottom w:w="0" w:type="dxa"/>
            <w:right w:w="108" w:type="dxa"/>
          </w:tblCellMar>
        </w:tblPrEx>
        <w:trPr>
          <w:trHeight w:val="752"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A6.模块化教学实施（40')</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B20.教学组织（18')</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灵活运用行动导向教学、项目式教学、情境式教学等教学方法，重构教学流程，开展分工协作的模块化教学</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注重适用人工智能、大数据、虚拟现实等新技术丰富教学手段</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建立课程建设诊断与改进机制，不断迭代升级课堂教学</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B21.教学评价（10')</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建立模块化教学评价指标体系，形成多元教学评价方式</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信息化平台和数字化教学评价手段在模块化教学实施过程中有效应用</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B22.教学成效（12')</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教学方法改革成效明显，人才培养质量有所提升</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形成教研论文、优质教材、精品课程等教学成果</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不断总结教学改革的有益做法，形成可复制、可推广的典型案例</w:t>
            </w:r>
          </w:p>
        </w:tc>
      </w:tr>
      <w:tr>
        <w:tblPrEx>
          <w:tblCellMar>
            <w:top w:w="0" w:type="dxa"/>
            <w:left w:w="108" w:type="dxa"/>
            <w:bottom w:w="0" w:type="dxa"/>
            <w:right w:w="108" w:type="dxa"/>
          </w:tblCellMar>
        </w:tblPrEx>
        <w:trPr>
          <w:trHeight w:val="392" w:hRule="atLeast"/>
          <w:jc w:val="center"/>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A7.特色创新及成果推广（20')</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B23.团队建设成果（10')</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总结、凝练团队建设经验和教育教学改革创新成果</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示范引领学校“双师型”教师队伍和双师结构团队建设，积极向其他职业院校推广应用</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B24.成果宣传推广（5')</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通过学术论文、会议论坛、专题培训等方式系统地对团队建设及其教学创新成果进行宣传和推广</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深入挖掘先进经验和典型案例，积极在主流媒体宣传推广</w:t>
            </w:r>
          </w:p>
        </w:tc>
      </w:tr>
      <w:tr>
        <w:tblPrEx>
          <w:tblCellMar>
            <w:top w:w="0" w:type="dxa"/>
            <w:left w:w="108" w:type="dxa"/>
            <w:bottom w:w="0" w:type="dxa"/>
            <w:right w:w="108" w:type="dxa"/>
          </w:tblCellMar>
        </w:tblPrEx>
        <w:trPr>
          <w:trHeight w:val="392"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B25.国际交流与合作（5')</w:t>
            </w: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学习世界职业教育先进经验并进行本土化转化应用，拓宽团队教师的国际化视野</w:t>
            </w:r>
          </w:p>
        </w:tc>
      </w:tr>
      <w:tr>
        <w:tblPrEx>
          <w:tblCellMar>
            <w:top w:w="0" w:type="dxa"/>
            <w:left w:w="108" w:type="dxa"/>
            <w:bottom w:w="0" w:type="dxa"/>
            <w:right w:w="108" w:type="dxa"/>
          </w:tblCellMar>
        </w:tblPrEx>
        <w:trPr>
          <w:trHeight w:val="784" w:hRule="atLeast"/>
          <w:jc w:val="center"/>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黑体" w:cs="Times New Roman"/>
                <w:color w:val="000000"/>
                <w:szCs w:val="21"/>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eastAsia="黑体" w:cs="Times New Roman"/>
                <w:color w:val="000000"/>
                <w:szCs w:val="21"/>
              </w:rPr>
            </w:pPr>
          </w:p>
        </w:tc>
        <w:tc>
          <w:tcPr>
            <w:tcW w:w="105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服务国家“一带一路”倡议，加强技术技能人才培养的国际合作，形成职业教育国际合作新范式，提升我国职业教育的国际影响力和竞争力</w:t>
            </w:r>
          </w:p>
        </w:tc>
      </w:tr>
    </w:tbl>
    <w:p>
      <w:pPr>
        <w:widowControl/>
        <w:ind w:firstLine="480" w:firstLineChars="200"/>
        <w:jc w:val="left"/>
        <w:textAlignment w:val="center"/>
        <w:rPr>
          <w:rFonts w:ascii="Times New Roman" w:hAnsi="Times New Roman" w:eastAsia="仿宋_GB2312" w:cs="Times New Roman"/>
          <w:color w:val="000000"/>
          <w:kern w:val="0"/>
          <w:sz w:val="24"/>
          <w:lang w:bidi="ar"/>
        </w:rPr>
      </w:pPr>
      <w:r>
        <w:rPr>
          <w:rFonts w:ascii="Times New Roman" w:hAnsi="Times New Roman" w:eastAsia="仿宋_GB2312" w:cs="Times New Roman"/>
          <w:color w:val="000000"/>
          <w:kern w:val="0"/>
          <w:sz w:val="24"/>
          <w:lang w:bidi="ar"/>
        </w:rPr>
        <w:t>备注：总分200分，得分为120分以下为不合格，120-140分为合格，140-160分为良好，160分以上为优秀。</w:t>
      </w:r>
    </w:p>
    <w:p>
      <w:pPr>
        <w:pStyle w:val="2"/>
        <w:spacing w:line="360" w:lineRule="auto"/>
        <w:rPr>
          <w:rFonts w:ascii="Times New Roman" w:hAnsi="Times New Roman" w:eastAsia="方正仿宋_GBK" w:cs="Times New Roma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OTk4ZDcyOGEwYmMwODI1YmFkYjY4MjVmZGFhNTgifQ=="/>
    <w:docVar w:name="KSO_WPS_MARK_KEY" w:val="6805dfdc-f850-4693-8d67-fffd28d24c0c"/>
  </w:docVars>
  <w:rsids>
    <w:rsidRoot w:val="59E625BE"/>
    <w:rsid w:val="59E62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2483</Words>
  <Characters>2663</Characters>
  <Lines>0</Lines>
  <Paragraphs>0</Paragraphs>
  <TotalTime>0</TotalTime>
  <ScaleCrop>false</ScaleCrop>
  <LinksUpToDate>false</LinksUpToDate>
  <CharactersWithSpaces>2663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2024-11-02T14:00:00Z</dcterms:created>
  <dc:creator>my</dc:creator>
  <cp:lastModifiedBy>my</cp:lastModifiedBy>
  <dcterms:modified xsi:type="dcterms:W3CDTF">2024-11-02T14:00:32Z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38DEFD0573A34162AEFAFEB8B3998F1E_11</vt:lpwstr>
  </property>
</Properties>
</file>