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93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6"/>
          <w:sz w:val="44"/>
          <w:szCs w:val="44"/>
        </w:rPr>
        <w:t>2024年重庆市初中历史优质课大赛活动方案</w:t>
      </w:r>
    </w:p>
    <w:p w14:paraId="342A0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2"/>
          <w:szCs w:val="32"/>
        </w:rPr>
      </w:pPr>
    </w:p>
    <w:p w14:paraId="632AFD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组织单位</w:t>
      </w:r>
    </w:p>
    <w:p w14:paraId="406C8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主办：重庆市教育科学研究院</w:t>
      </w:r>
    </w:p>
    <w:p w14:paraId="20547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承办：重庆市巫山县教研室、重庆市巫山初级中学、重庆市巫山第二中学</w:t>
      </w:r>
    </w:p>
    <w:p w14:paraId="33F4B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二、比赛主题</w:t>
      </w:r>
    </w:p>
    <w:p w14:paraId="10E699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初中历史高品质课堂建设</w:t>
      </w:r>
    </w:p>
    <w:p w14:paraId="460B1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、比赛时间</w:t>
      </w:r>
    </w:p>
    <w:p w14:paraId="444B4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2024年10月22（星期二）、23日（星期三）。</w:t>
      </w:r>
    </w:p>
    <w:p w14:paraId="40B9D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四、比赛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地点</w:t>
      </w:r>
    </w:p>
    <w:p w14:paraId="5B0EB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巫山初级中学、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巫山第二中学</w:t>
      </w:r>
    </w:p>
    <w:p w14:paraId="67005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、参赛对象</w:t>
      </w:r>
    </w:p>
    <w:p w14:paraId="574FF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各区县及重庆一中、南开中学、重庆八中、育才中学、巴蜀中学、西南大学附中、重庆外国语学校各选拔推荐1名初中历史教师参赛，承办区县巫山县另推荐1名初中历史教师参赛。</w:t>
      </w:r>
    </w:p>
    <w:p w14:paraId="7A854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、比赛形式和内容</w:t>
      </w:r>
    </w:p>
    <w:p w14:paraId="66B3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1.本次比赛采用现场上课的形式。参赛选手每人上一节课，时间40分钟，借承办学校的班上课，授课班级为初一年级教学班。</w:t>
      </w:r>
    </w:p>
    <w:p w14:paraId="2080F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2.本次赛课内容为统编初中历史修订教材七年级上册的内容。参赛教师可在本册第三、四单元自选课题。</w:t>
      </w:r>
    </w:p>
    <w:p w14:paraId="0F6CB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3.参赛教师复印教学案5份到比赛现场供评委使用。</w:t>
      </w:r>
    </w:p>
    <w:p w14:paraId="593C7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4.本次比赛分为4个组同时进行，每组12-13名参赛教师，其中第一、二组在巫山初中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进行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，第三、四组在巫山二中进行。</w:t>
      </w:r>
    </w:p>
    <w:p w14:paraId="7F551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、赛前准备与赛课纪律</w:t>
      </w:r>
    </w:p>
    <w:p w14:paraId="7DFD4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1.请两个承办学校准备多媒体教室各2个，并确保设备的正常工作。</w:t>
      </w:r>
    </w:p>
    <w:p w14:paraId="5E721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22日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参赛教师于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21日下午16：30—18：00，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23日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参赛教师于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22日下午16：30—18：00到赛课地点按抽签决定的讲课顺序依次安装调试课件，每人不超过10分钟。</w:t>
      </w:r>
    </w:p>
    <w:p w14:paraId="064CB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3.参赛教师可在赛前头天晚上(18:00-19:00)与执教班级学生见面，每人不超过10分钟。</w:t>
      </w:r>
    </w:p>
    <w:p w14:paraId="47529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4.参赛教师教学设计必须原创；参赛教师顺序在后者不能听顺序在前的教师的课。如有违反，一经查实，取消评奖资格。</w:t>
      </w:r>
    </w:p>
    <w:p w14:paraId="4707A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5.参赛教师所在区县教研员和所在学校老师赛前、赛中不得与评委接触，不得向评委打招呼，一经查实，取消评奖资格。</w:t>
      </w:r>
    </w:p>
    <w:p w14:paraId="0B969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6.未经允许，参赛教师、评委不得接受任何媒体和个人的采访。</w:t>
      </w:r>
    </w:p>
    <w:p w14:paraId="2BC266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八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、评价标准与奖项设置</w:t>
      </w:r>
    </w:p>
    <w:p w14:paraId="5BE2B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评分标准参照《2024年重庆市初中历史高品质课堂建设优质课大赛评价量表》（见附件1）。每组设一等奖5名，二等奖若干。获奖名单将在教科院网站公布。同时设指导教师奖，每堂课可报2名指导教师。</w:t>
      </w:r>
    </w:p>
    <w:p w14:paraId="234401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九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、竞赛日程安排</w:t>
      </w:r>
    </w:p>
    <w:p w14:paraId="02F69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4" w:firstLineChars="200"/>
        <w:textAlignment w:val="auto"/>
        <w:rPr>
          <w:rFonts w:hint="eastAsia" w:ascii="方正仿宋_GBK" w:hAnsi="方正仿宋_GBK" w:eastAsia="方正仿宋_GBK" w:cs="方正仿宋_GBK"/>
          <w:w w:val="96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6"/>
          <w:sz w:val="32"/>
          <w:szCs w:val="32"/>
        </w:rPr>
        <w:t>1.各区县、学校务必于10月10前上报参赛选手姓名、学校、</w:t>
      </w:r>
      <w:r>
        <w:rPr>
          <w:rFonts w:hint="eastAsia" w:ascii="方正仿宋_GBK" w:hAnsi="方正仿宋_GBK" w:eastAsia="方正仿宋_GBK" w:cs="方正仿宋_GBK"/>
          <w:w w:val="96"/>
          <w:sz w:val="32"/>
          <w:szCs w:val="32"/>
          <w:lang w:val="en-US" w:eastAsia="zh-CN"/>
        </w:rPr>
        <w:t>赛课题目</w:t>
      </w:r>
      <w:r>
        <w:rPr>
          <w:rFonts w:hint="eastAsia" w:ascii="方正仿宋_GBK" w:hAnsi="方正仿宋_GBK" w:eastAsia="方正仿宋_GBK" w:cs="方正仿宋_GBK"/>
          <w:w w:val="96"/>
          <w:sz w:val="32"/>
          <w:szCs w:val="32"/>
        </w:rPr>
        <w:t>、联系电话等信息</w:t>
      </w:r>
      <w:r>
        <w:rPr>
          <w:rFonts w:hint="eastAsia" w:ascii="方正仿宋_GBK" w:hAnsi="方正仿宋_GBK" w:eastAsia="方正仿宋_GBK" w:cs="方正仿宋_GBK"/>
          <w:w w:val="96"/>
          <w:sz w:val="32"/>
          <w:szCs w:val="32"/>
          <w:u w:val="none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instrText xml:space="preserve"> HYPERLINK "mailto:信息统一发送至176228185@qq.com" </w:instrTex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fldChar w:fldCharType="separate"/>
      </w:r>
      <w:r>
        <w:rPr>
          <w:rStyle w:val="6"/>
          <w:rFonts w:hint="eastAsia" w:ascii="方正仿宋_GBK" w:hAnsi="方正仿宋_GBK" w:eastAsia="方正仿宋_GBK" w:cs="方正仿宋_GBK"/>
          <w:color w:val="auto"/>
          <w:w w:val="96"/>
          <w:sz w:val="32"/>
          <w:szCs w:val="32"/>
          <w:u w:val="none"/>
        </w:rPr>
        <w:t>信息统一发送至176228185@qq.com</w:t>
      </w:r>
      <w:r>
        <w:rPr>
          <w:rStyle w:val="6"/>
          <w:rFonts w:hint="eastAsia" w:ascii="方正仿宋_GBK" w:hAnsi="方正仿宋_GBK" w:eastAsia="方正仿宋_GBK" w:cs="方正仿宋_GBK"/>
          <w:color w:val="auto"/>
          <w:w w:val="96"/>
          <w:sz w:val="32"/>
          <w:szCs w:val="32"/>
          <w:u w:val="none"/>
        </w:rPr>
        <w:fldChar w:fldCharType="end"/>
      </w:r>
      <w:r>
        <w:rPr>
          <w:rFonts w:hint="eastAsia" w:ascii="方正仿宋_GBK" w:hAnsi="方正仿宋_GBK" w:eastAsia="方正仿宋_GBK" w:cs="方正仿宋_GBK"/>
          <w:w w:val="96"/>
          <w:sz w:val="32"/>
          <w:szCs w:val="32"/>
        </w:rPr>
        <w:t>。参赛选手信</w:t>
      </w:r>
      <w:r>
        <w:rPr>
          <w:rFonts w:hint="eastAsia" w:ascii="方正仿宋_GBK" w:hAnsi="方正仿宋_GBK" w:eastAsia="方正仿宋_GBK" w:cs="方正仿宋_GBK"/>
          <w:b w:val="0"/>
          <w:bCs w:val="0"/>
          <w:w w:val="96"/>
          <w:sz w:val="32"/>
          <w:szCs w:val="32"/>
        </w:rPr>
        <w:t>息表见附件2。</w:t>
      </w:r>
    </w:p>
    <w:p w14:paraId="493E5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2.选手分组、上课顺序抽签时间和具体办法：请选手在10月14日8:00-24:00之内进入抽签系统完成抽签。网络抽签具体办法将挂入“重庆历史教研之家”QQ群。</w:t>
      </w:r>
    </w:p>
    <w:p w14:paraId="4894A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报到时间、地点：评委、参赛教师于10月21日(星期一)下午15:00在巫山初中“书吧”大厅报到，评委报到后于15:30在学校会议室参加评委会，参赛教师报到后于16:00点在学校会议室参加参赛选手会，由组委会交代比赛的有关事项。</w:t>
      </w:r>
    </w:p>
    <w:p w14:paraId="51D5D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4.赛课时间：10月22日-23日。</w:t>
      </w:r>
    </w:p>
    <w:p w14:paraId="17F08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5.评委和参赛教师会议地点：巫山初中天桥会议室。</w:t>
      </w:r>
    </w:p>
    <w:p w14:paraId="146C9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、组织观摩</w:t>
      </w:r>
    </w:p>
    <w:p w14:paraId="24CF9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1.各区县、学校组织教师观摩学习，时间两天。</w:t>
      </w:r>
    </w:p>
    <w:p w14:paraId="4AFFE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2.请各区县教研员于10月16日前将本区县、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 HYPERLINK "mailto:学校观摩课教师参会回执发送至471857226@qq.com" 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学校观摩课教师回执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表（见附件3）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发送至邮箱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176228185@qq.com，并请注明历史赛课观摩回执。</w:t>
      </w:r>
    </w:p>
    <w:p w14:paraId="55452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3.观摩课教师于10月22日上午7：00—7：40，根据观课需要分别在巫山初中、巫山二中报到。</w:t>
      </w:r>
    </w:p>
    <w:p w14:paraId="5827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评委、参赛教师、观摩课教师差旅费回原单位报销。</w:t>
      </w:r>
    </w:p>
    <w:p w14:paraId="1C609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请各位老师积极参与！</w:t>
      </w:r>
    </w:p>
    <w:p w14:paraId="40734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方正仿宋_GBK" w:hAnsi="方正仿宋_GBK" w:eastAsia="方正仿宋_GBK" w:cs="方正仿宋_GBK"/>
          <w:w w:val="95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比赛事宜联系人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重庆市教科院  刘雅雯   19112912928</w:t>
      </w:r>
    </w:p>
    <w:p w14:paraId="22568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40" w:firstLineChars="95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重庆巫山教研室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訚中平 13996536368</w:t>
      </w:r>
    </w:p>
    <w:p w14:paraId="6BB515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CF58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附件：1.2024年重庆市初中历史高品质课堂建设优质课大赛评价量表</w:t>
      </w:r>
    </w:p>
    <w:p w14:paraId="122AB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2.参赛选手信息表</w:t>
      </w:r>
    </w:p>
    <w:p w14:paraId="0B58F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3.观摩课教师回执表</w:t>
      </w:r>
    </w:p>
    <w:p w14:paraId="027C7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24AAE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606E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重庆市教育科学研究院办公室</w:t>
      </w:r>
    </w:p>
    <w:p w14:paraId="12BED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2024年9月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1A075CA0"/>
    <w:p w14:paraId="191013C1"/>
    <w:p w14:paraId="119BF9A1"/>
    <w:p w14:paraId="4B1783B1"/>
    <w:p w14:paraId="7B09BB2A"/>
    <w:p w14:paraId="2CB4D2B2"/>
    <w:p w14:paraId="241B12A3"/>
    <w:p w14:paraId="3CAEE6F1"/>
    <w:p w14:paraId="6BB2F9BB"/>
    <w:p w14:paraId="32B1FA35"/>
    <w:p w14:paraId="6B5E1A80"/>
    <w:p w14:paraId="64583F40"/>
    <w:p w14:paraId="21850665"/>
    <w:p w14:paraId="4E66B2DE">
      <w:bookmarkStart w:id="0" w:name="_GoBack"/>
      <w:bookmarkEnd w:id="0"/>
    </w:p>
    <w:p w14:paraId="7AE52D9A"/>
    <w:p w14:paraId="6BC7A499"/>
    <w:p w14:paraId="4CBDB394"/>
    <w:p w14:paraId="573B753D"/>
    <w:p w14:paraId="27CF5FE8"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 w14:paraId="3E6382B9"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2024年重庆市初中历史高品质课堂建设优质课大赛评价量表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921"/>
        <w:gridCol w:w="5397"/>
        <w:gridCol w:w="420"/>
        <w:gridCol w:w="396"/>
        <w:gridCol w:w="1031"/>
      </w:tblGrid>
      <w:tr w14:paraId="547F1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0" w:type="auto"/>
            <w:gridSpan w:val="2"/>
            <w:vAlign w:val="center"/>
          </w:tcPr>
          <w:p w14:paraId="0A9ACC60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评价项目</w:t>
            </w:r>
          </w:p>
          <w:p w14:paraId="6F9F3831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及权重</w:t>
            </w:r>
          </w:p>
        </w:tc>
        <w:tc>
          <w:tcPr>
            <w:tcW w:w="0" w:type="auto"/>
            <w:vAlign w:val="center"/>
          </w:tcPr>
          <w:p w14:paraId="4A3BAE48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评  价  内  容</w:t>
            </w:r>
          </w:p>
        </w:tc>
        <w:tc>
          <w:tcPr>
            <w:tcW w:w="0" w:type="auto"/>
            <w:vAlign w:val="center"/>
          </w:tcPr>
          <w:p w14:paraId="6E99CB02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满</w:t>
            </w:r>
          </w:p>
          <w:p w14:paraId="1D0DF72D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分</w:t>
            </w:r>
          </w:p>
        </w:tc>
        <w:tc>
          <w:tcPr>
            <w:tcW w:w="0" w:type="auto"/>
            <w:vAlign w:val="center"/>
          </w:tcPr>
          <w:p w14:paraId="3BD03F1B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得</w:t>
            </w:r>
          </w:p>
          <w:p w14:paraId="3F11CCC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分</w:t>
            </w:r>
          </w:p>
        </w:tc>
        <w:tc>
          <w:tcPr>
            <w:tcW w:w="0" w:type="auto"/>
            <w:vAlign w:val="center"/>
          </w:tcPr>
          <w:p w14:paraId="28E972DE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备</w:t>
            </w:r>
          </w:p>
          <w:p w14:paraId="1EE86533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注</w:t>
            </w:r>
          </w:p>
        </w:tc>
      </w:tr>
      <w:tr w14:paraId="09F3A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0" w:type="auto"/>
            <w:vMerge w:val="restart"/>
            <w:vAlign w:val="center"/>
          </w:tcPr>
          <w:p w14:paraId="29E22D8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</w:t>
            </w:r>
          </w:p>
          <w:p w14:paraId="64F8FE89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设计（30%）</w:t>
            </w:r>
          </w:p>
        </w:tc>
        <w:tc>
          <w:tcPr>
            <w:tcW w:w="0" w:type="auto"/>
            <w:vAlign w:val="center"/>
          </w:tcPr>
          <w:p w14:paraId="3F49C8F4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</w:t>
            </w:r>
          </w:p>
          <w:p w14:paraId="0CAF03CC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目标</w:t>
            </w:r>
          </w:p>
          <w:p w14:paraId="313163B4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5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</w:tcPr>
          <w:p w14:paraId="4ECAC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准确把握《义务教育历史课程标准（20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22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年版）》的要求；目标明确、具体，符合学生实际；立意高远，体现正确价值导向；体现历史学科“五位一体”的核心素养导向；注重学生思维品质特别是高阶思维的培养。</w:t>
            </w:r>
          </w:p>
        </w:tc>
        <w:tc>
          <w:tcPr>
            <w:tcW w:w="0" w:type="auto"/>
            <w:vAlign w:val="center"/>
          </w:tcPr>
          <w:p w14:paraId="54FC4842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6D6CFDCA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</w:tcPr>
          <w:p w14:paraId="09512B38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出现思想性、政治性、意识形态错误，一票否决。</w:t>
            </w:r>
          </w:p>
        </w:tc>
      </w:tr>
      <w:tr w14:paraId="2BC04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vMerge w:val="continue"/>
            <w:vAlign w:val="center"/>
          </w:tcPr>
          <w:p w14:paraId="6386014F">
            <w:pPr>
              <w:widowControl/>
              <w:spacing w:line="280" w:lineRule="exact"/>
              <w:jc w:val="left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26ED0F30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</w:t>
            </w:r>
          </w:p>
          <w:p w14:paraId="6F6C75F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内容（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5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  <w:vAlign w:val="center"/>
          </w:tcPr>
          <w:p w14:paraId="2EF62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科学认识模块、单元和课时教学内容的关系；恰当处理教材内容；主题明确，逻辑清晰；重、难点把握准确。</w:t>
            </w:r>
          </w:p>
        </w:tc>
        <w:tc>
          <w:tcPr>
            <w:tcW w:w="0" w:type="auto"/>
            <w:vAlign w:val="center"/>
          </w:tcPr>
          <w:p w14:paraId="34AF33D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064445A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619EFF98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32EDE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0" w:type="auto"/>
            <w:vMerge w:val="continue"/>
            <w:vAlign w:val="center"/>
          </w:tcPr>
          <w:p w14:paraId="0B899368">
            <w:pPr>
              <w:widowControl/>
              <w:spacing w:line="280" w:lineRule="exact"/>
              <w:jc w:val="left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7E8BAAC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</w:t>
            </w:r>
          </w:p>
          <w:p w14:paraId="764E33AB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情境</w:t>
            </w:r>
          </w:p>
          <w:p w14:paraId="3121297F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（1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  <w:vAlign w:val="center"/>
          </w:tcPr>
          <w:p w14:paraId="6041C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联系学生已有知识储备和生活经验；充分运用教科书资源，材料典型、真实，信息量适当，符合学生认知水平；问题设置符合学生最近发展区，具有一定挑战性；活动设计必要、科学；紧扣历史核心概念、重点内容和关键问题；具有原创性。</w:t>
            </w:r>
          </w:p>
        </w:tc>
        <w:tc>
          <w:tcPr>
            <w:tcW w:w="0" w:type="auto"/>
            <w:vAlign w:val="center"/>
          </w:tcPr>
          <w:p w14:paraId="56CBB2DF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5F99EE1A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2F503429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688AD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0" w:type="auto"/>
            <w:vMerge w:val="continue"/>
            <w:vAlign w:val="center"/>
          </w:tcPr>
          <w:p w14:paraId="6B7C13D4">
            <w:pPr>
              <w:widowControl/>
              <w:spacing w:line="280" w:lineRule="exact"/>
              <w:jc w:val="left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12119AFD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</w:t>
            </w:r>
          </w:p>
          <w:p w14:paraId="48738FD6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评价</w:t>
            </w:r>
          </w:p>
          <w:p w14:paraId="1461D9DD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（5%）</w:t>
            </w:r>
          </w:p>
        </w:tc>
        <w:tc>
          <w:tcPr>
            <w:tcW w:w="0" w:type="auto"/>
            <w:vAlign w:val="center"/>
          </w:tcPr>
          <w:p w14:paraId="08EFB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基于《义务教育历史课程标准（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2022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年版）》，体现教学评一致性和一体化，评价贯穿课前、课中、课后。</w:t>
            </w:r>
          </w:p>
        </w:tc>
        <w:tc>
          <w:tcPr>
            <w:tcW w:w="0" w:type="auto"/>
            <w:vAlign w:val="center"/>
          </w:tcPr>
          <w:p w14:paraId="6ED741BF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53023FBC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1853F92C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7C74C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07" w:hRule="atLeast"/>
          <w:jc w:val="center"/>
        </w:trPr>
        <w:tc>
          <w:tcPr>
            <w:tcW w:w="0" w:type="auto"/>
            <w:vMerge w:val="continue"/>
            <w:vAlign w:val="center"/>
          </w:tcPr>
          <w:p w14:paraId="31CEF4F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982CAC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教法</w:t>
            </w:r>
          </w:p>
          <w:p w14:paraId="47F6C23D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学法</w:t>
            </w:r>
          </w:p>
          <w:p w14:paraId="60866C7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5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</w:tcPr>
          <w:p w14:paraId="1FFBB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教师教学方法多样、灵活，与教学内容有机结合，注重启发式教学；学生进行自主、合作、探究学习；现代信息技术与教学深度融合。</w:t>
            </w:r>
          </w:p>
        </w:tc>
        <w:tc>
          <w:tcPr>
            <w:tcW w:w="0" w:type="auto"/>
            <w:vAlign w:val="center"/>
          </w:tcPr>
          <w:p w14:paraId="17A511B7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2A55460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0BA2B7E0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49BCB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vMerge w:val="restart"/>
            <w:vAlign w:val="center"/>
          </w:tcPr>
          <w:p w14:paraId="27F92876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</w:t>
            </w:r>
          </w:p>
          <w:p w14:paraId="1C91FF53">
            <w:pPr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实施（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35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  <w:vAlign w:val="center"/>
          </w:tcPr>
          <w:p w14:paraId="27FCDF6E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教师</w:t>
            </w:r>
          </w:p>
          <w:p w14:paraId="2B14555B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</w:t>
            </w:r>
          </w:p>
          <w:p w14:paraId="461B4818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20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</w:tcPr>
          <w:p w14:paraId="1FA99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设计有效执行；教学活动有序开展，善于启发、引导，重视学生历史思维过程和思维方法培养；注重课堂观察，对学生的学习情况反馈及时，评价恰当且利于激励学生学习，具有教学机智，引导教学生成或超预期生成；教学语言生动、准确、深刻、简明、规范、流畅，具有感染力；板书规范、美观，准确反映教学内容，逻辑性强；熟练运用现代教育技术。</w:t>
            </w:r>
          </w:p>
        </w:tc>
        <w:tc>
          <w:tcPr>
            <w:tcW w:w="0" w:type="auto"/>
            <w:vAlign w:val="center"/>
          </w:tcPr>
          <w:p w14:paraId="4833B647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02E49617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165EB119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71468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vMerge w:val="continue"/>
            <w:vAlign w:val="center"/>
          </w:tcPr>
          <w:p w14:paraId="68B1BDC3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5C9C2F3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学生</w:t>
            </w:r>
          </w:p>
          <w:p w14:paraId="2848A757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学习（1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0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  <w:vAlign w:val="center"/>
          </w:tcPr>
          <w:p w14:paraId="06487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注意力集中，学习兴趣浓厚；积极主动学习，认真思考，合作共享，乐于表达，能提出有意义的问题和见解；与历史同频共振，动心动情。</w:t>
            </w:r>
          </w:p>
        </w:tc>
        <w:tc>
          <w:tcPr>
            <w:tcW w:w="0" w:type="auto"/>
            <w:vAlign w:val="center"/>
          </w:tcPr>
          <w:p w14:paraId="261239AB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243B248C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0BF5D70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7E041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vMerge w:val="continue"/>
            <w:vAlign w:val="center"/>
          </w:tcPr>
          <w:p w14:paraId="3A57CA39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4F5AF51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课堂</w:t>
            </w:r>
          </w:p>
          <w:p w14:paraId="7053A29F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生态</w:t>
            </w:r>
          </w:p>
          <w:p w14:paraId="539292B0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5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  <w:vAlign w:val="center"/>
          </w:tcPr>
          <w:p w14:paraId="39125D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民主、融洽、有序，学生有思考、交流的时间，表达的氛围宽松，师生互动，生生互动。</w:t>
            </w:r>
          </w:p>
        </w:tc>
        <w:tc>
          <w:tcPr>
            <w:tcW w:w="0" w:type="auto"/>
            <w:vAlign w:val="center"/>
          </w:tcPr>
          <w:p w14:paraId="109BCE7B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44CF982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580CCC3D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27173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vMerge w:val="restart"/>
            <w:vAlign w:val="center"/>
          </w:tcPr>
          <w:p w14:paraId="7EB6C00C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</w:t>
            </w:r>
          </w:p>
          <w:p w14:paraId="43F28BF6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效果</w:t>
            </w:r>
          </w:p>
          <w:p w14:paraId="4AF04318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（3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5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  <w:vAlign w:val="center"/>
          </w:tcPr>
          <w:p w14:paraId="7E4ACAAE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</w:t>
            </w:r>
          </w:p>
          <w:p w14:paraId="164E62AF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任务</w:t>
            </w:r>
          </w:p>
          <w:p w14:paraId="582C9596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5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%）</w:t>
            </w:r>
          </w:p>
        </w:tc>
        <w:tc>
          <w:tcPr>
            <w:tcW w:w="0" w:type="auto"/>
            <w:vAlign w:val="center"/>
          </w:tcPr>
          <w:p w14:paraId="417376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按时完成教科书1课教学任务，时间分配合理。</w:t>
            </w:r>
          </w:p>
        </w:tc>
        <w:tc>
          <w:tcPr>
            <w:tcW w:w="0" w:type="auto"/>
            <w:vAlign w:val="center"/>
          </w:tcPr>
          <w:p w14:paraId="058E6DE0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4419CE31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2D0800E6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4E0EA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vMerge w:val="continue"/>
            <w:vAlign w:val="center"/>
          </w:tcPr>
          <w:p w14:paraId="4161667B">
            <w:pPr>
              <w:widowControl/>
              <w:spacing w:line="280" w:lineRule="exact"/>
              <w:jc w:val="left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0A54F8E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重点</w:t>
            </w:r>
          </w:p>
          <w:p w14:paraId="70E9D060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难点</w:t>
            </w:r>
          </w:p>
          <w:p w14:paraId="54EBF241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0%）</w:t>
            </w:r>
          </w:p>
        </w:tc>
        <w:tc>
          <w:tcPr>
            <w:tcW w:w="0" w:type="auto"/>
            <w:vAlign w:val="center"/>
          </w:tcPr>
          <w:p w14:paraId="7AB97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重点突出，难点有效突破。</w:t>
            </w:r>
          </w:p>
        </w:tc>
        <w:tc>
          <w:tcPr>
            <w:tcW w:w="0" w:type="auto"/>
            <w:vAlign w:val="center"/>
          </w:tcPr>
          <w:p w14:paraId="38719EC8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9E528E8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675F4CB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09DDA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0" w:type="auto"/>
            <w:vMerge w:val="continue"/>
            <w:vAlign w:val="center"/>
          </w:tcPr>
          <w:p w14:paraId="227C23A6">
            <w:pPr>
              <w:widowControl/>
              <w:spacing w:line="280" w:lineRule="exact"/>
              <w:jc w:val="left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F705E6A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学业</w:t>
            </w:r>
          </w:p>
          <w:p w14:paraId="64E2CA71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质量</w:t>
            </w:r>
          </w:p>
          <w:p w14:paraId="6B7D4B42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0%）</w:t>
            </w:r>
          </w:p>
        </w:tc>
        <w:tc>
          <w:tcPr>
            <w:tcW w:w="0" w:type="auto"/>
            <w:vAlign w:val="center"/>
          </w:tcPr>
          <w:p w14:paraId="40BD0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教学目标达成，历史学科核心素养得到有效培养，历史学科必备知识、关键能力、学生思维品质特别是高阶思维得到发展。</w:t>
            </w:r>
          </w:p>
        </w:tc>
        <w:tc>
          <w:tcPr>
            <w:tcW w:w="0" w:type="auto"/>
            <w:vAlign w:val="center"/>
          </w:tcPr>
          <w:p w14:paraId="2EB43ECF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53DA4964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783E5206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  <w:tr w14:paraId="57365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0" w:type="auto"/>
            <w:vMerge w:val="continue"/>
            <w:vAlign w:val="center"/>
          </w:tcPr>
          <w:p w14:paraId="169F69FA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CB162B3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学生</w:t>
            </w:r>
          </w:p>
          <w:p w14:paraId="3C2466C9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层次</w:t>
            </w:r>
          </w:p>
          <w:p w14:paraId="5B880D4D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（</w:t>
            </w:r>
            <w:r>
              <w:rPr>
                <w:rFonts w:ascii="方正仿宋_GBK" w:hAnsi="宋体" w:eastAsia="方正仿宋_GBK"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0%）</w:t>
            </w:r>
          </w:p>
        </w:tc>
        <w:tc>
          <w:tcPr>
            <w:tcW w:w="0" w:type="auto"/>
            <w:vAlign w:val="center"/>
          </w:tcPr>
          <w:p w14:paraId="0D732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方正仿宋_GBK" w:hAnsi="宋体" w:eastAsia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/>
                <w:kern w:val="0"/>
                <w:sz w:val="18"/>
                <w:szCs w:val="18"/>
              </w:rPr>
              <w:t>不同层次的学生都得到有效发展、能体验到成功的愉悦。</w:t>
            </w:r>
          </w:p>
        </w:tc>
        <w:tc>
          <w:tcPr>
            <w:tcW w:w="0" w:type="auto"/>
            <w:vAlign w:val="center"/>
          </w:tcPr>
          <w:p w14:paraId="167DEE3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</w:pPr>
            <w:r>
              <w:rPr>
                <w:rFonts w:ascii="方正仿宋_GBK" w:hAnsi="宋体" w:eastAsia="方正仿宋_GBK"/>
                <w:bCs/>
                <w:kern w:val="0"/>
                <w:sz w:val="18"/>
                <w:szCs w:val="18"/>
              </w:rPr>
              <w:t>1</w:t>
            </w:r>
            <w:r>
              <w:rPr>
                <w:rFonts w:hint="eastAsia" w:ascii="方正仿宋_GBK" w:hAnsi="宋体" w:eastAsia="方正仿宋_GBK"/>
                <w:bCs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14:paraId="78282F55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</w:tcPr>
          <w:p w14:paraId="38ACC60B">
            <w:pPr>
              <w:widowControl/>
              <w:spacing w:line="280" w:lineRule="exact"/>
              <w:jc w:val="center"/>
              <w:rPr>
                <w:rFonts w:ascii="方正仿宋_GBK" w:hAnsi="宋体" w:eastAsia="方正仿宋_GBK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5AF5E0E2">
      <w:pPr>
        <w:rPr>
          <w:rFonts w:ascii="仿宋_GB2312" w:hAnsi="宋体" w:eastAsia="仿宋_GB2312"/>
          <w:sz w:val="32"/>
          <w:szCs w:val="32"/>
        </w:rPr>
      </w:pPr>
      <w:r>
        <w:br w:type="page"/>
      </w: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2</w:t>
      </w:r>
    </w:p>
    <w:p w14:paraId="25C122BB">
      <w:pPr>
        <w:jc w:val="center"/>
        <w:rPr>
          <w:rFonts w:ascii="方正小标宋_GBK" w:hAnsi="宋体" w:eastAsia="方正小标宋_GBK"/>
          <w:b w:val="0"/>
          <w:bCs/>
          <w:sz w:val="36"/>
          <w:szCs w:val="36"/>
        </w:rPr>
      </w:pPr>
      <w:r>
        <w:rPr>
          <w:rFonts w:hint="eastAsia" w:ascii="方正小标宋_GBK" w:hAnsi="宋体" w:eastAsia="方正小标宋_GBK"/>
          <w:b w:val="0"/>
          <w:bCs/>
          <w:sz w:val="36"/>
          <w:szCs w:val="36"/>
        </w:rPr>
        <w:t>参赛选手信息表</w:t>
      </w:r>
    </w:p>
    <w:tbl>
      <w:tblPr>
        <w:tblStyle w:val="3"/>
        <w:tblW w:w="5000" w:type="pct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210"/>
        <w:gridCol w:w="1614"/>
        <w:gridCol w:w="2614"/>
        <w:gridCol w:w="1211"/>
        <w:gridCol w:w="1202"/>
      </w:tblGrid>
      <w:tr w14:paraId="12C2F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7D5E379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区县</w:t>
            </w:r>
          </w:p>
        </w:tc>
        <w:tc>
          <w:tcPr>
            <w:tcW w:w="668" w:type="dxa"/>
            <w:vAlign w:val="center"/>
          </w:tcPr>
          <w:p w14:paraId="2287D65B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学校</w:t>
            </w:r>
          </w:p>
        </w:tc>
        <w:tc>
          <w:tcPr>
            <w:tcW w:w="891" w:type="dxa"/>
            <w:vAlign w:val="center"/>
          </w:tcPr>
          <w:p w14:paraId="50371894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参赛选手姓名</w:t>
            </w:r>
          </w:p>
        </w:tc>
        <w:tc>
          <w:tcPr>
            <w:tcW w:w="1443" w:type="dxa"/>
            <w:vAlign w:val="center"/>
          </w:tcPr>
          <w:p w14:paraId="6CB6D675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赛课题目</w:t>
            </w:r>
          </w:p>
        </w:tc>
        <w:tc>
          <w:tcPr>
            <w:tcW w:w="668" w:type="dxa"/>
            <w:vAlign w:val="center"/>
          </w:tcPr>
          <w:p w14:paraId="3D4E2789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联系</w:t>
            </w:r>
          </w:p>
          <w:p w14:paraId="7A4F954C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电话</w:t>
            </w:r>
          </w:p>
        </w:tc>
        <w:tc>
          <w:tcPr>
            <w:tcW w:w="663" w:type="dxa"/>
            <w:vAlign w:val="center"/>
          </w:tcPr>
          <w:p w14:paraId="5A1F7F57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指导</w:t>
            </w:r>
          </w:p>
          <w:p w14:paraId="05651AD4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教师</w:t>
            </w:r>
          </w:p>
        </w:tc>
      </w:tr>
      <w:tr w14:paraId="5AE6FE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5BC748A4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14:paraId="073AA2FC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14:paraId="6F8B4422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4CC1BB18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14:paraId="3F33738A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3" w:type="dxa"/>
            <w:vAlign w:val="center"/>
          </w:tcPr>
          <w:p w14:paraId="33E45D95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 w14:paraId="6783B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8" w:type="dxa"/>
            <w:vAlign w:val="center"/>
          </w:tcPr>
          <w:p w14:paraId="6ACE0C0E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14:paraId="7DB16600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891" w:type="dxa"/>
            <w:vAlign w:val="center"/>
          </w:tcPr>
          <w:p w14:paraId="19A30404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1DDDC43A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8" w:type="dxa"/>
            <w:vAlign w:val="center"/>
          </w:tcPr>
          <w:p w14:paraId="5FBDB671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663" w:type="dxa"/>
            <w:vAlign w:val="center"/>
          </w:tcPr>
          <w:p w14:paraId="0C0CF0EF"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</w:tbl>
    <w:p w14:paraId="4363973D">
      <w:pPr>
        <w:rPr>
          <w:rFonts w:ascii="仿宋_GB2312" w:hAnsi="宋体" w:eastAsia="仿宋_GB2312"/>
          <w:sz w:val="32"/>
          <w:szCs w:val="32"/>
        </w:rPr>
      </w:pPr>
    </w:p>
    <w:p w14:paraId="5EADD939">
      <w:pPr>
        <w:rPr>
          <w:rFonts w:ascii="仿宋_GB2312" w:hAnsi="宋体" w:eastAsia="仿宋_GB2312"/>
          <w:sz w:val="32"/>
          <w:szCs w:val="32"/>
        </w:rPr>
      </w:pPr>
      <w:r>
        <w:br w:type="page"/>
      </w: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ascii="黑体" w:hAnsi="宋体" w:eastAsia="黑体"/>
          <w:sz w:val="32"/>
          <w:szCs w:val="32"/>
        </w:rPr>
        <w:t>3</w:t>
      </w:r>
    </w:p>
    <w:p w14:paraId="4E734649">
      <w:pPr>
        <w:jc w:val="center"/>
        <w:rPr>
          <w:rFonts w:ascii="方正小标宋_GBK" w:hAnsi="宋体" w:eastAsia="方正小标宋_GBK"/>
          <w:b w:val="0"/>
          <w:bCs/>
          <w:sz w:val="36"/>
          <w:szCs w:val="36"/>
        </w:rPr>
      </w:pPr>
      <w:r>
        <w:rPr>
          <w:rFonts w:hint="eastAsia" w:ascii="方正小标宋_GBK" w:hAnsi="宋体" w:eastAsia="方正小标宋_GBK"/>
          <w:b w:val="0"/>
          <w:bCs/>
          <w:sz w:val="36"/>
          <w:szCs w:val="36"/>
        </w:rPr>
        <w:t>观摩课教师回执表</w:t>
      </w:r>
    </w:p>
    <w:p w14:paraId="375C2B8C">
      <w:pPr>
        <w:rPr>
          <w:rFonts w:ascii="楷体_GB2312" w:hAnsi="仿宋" w:eastAsia="楷体_GB2312"/>
          <w:b/>
          <w:szCs w:val="21"/>
          <w:shd w:val="clear" w:color="auto" w:fill="FF0000"/>
        </w:rPr>
      </w:pPr>
    </w:p>
    <w:tbl>
      <w:tblPr>
        <w:tblStyle w:val="3"/>
        <w:tblW w:w="5000" w:type="pct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267"/>
        <w:gridCol w:w="1973"/>
        <w:gridCol w:w="1943"/>
        <w:gridCol w:w="2611"/>
      </w:tblGrid>
      <w:tr w14:paraId="628EE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4" w:type="dxa"/>
            <w:vAlign w:val="center"/>
          </w:tcPr>
          <w:p w14:paraId="65FF6935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4" w:type="dxa"/>
            <w:vAlign w:val="center"/>
          </w:tcPr>
          <w:p w14:paraId="1273FDCF">
            <w:pPr>
              <w:jc w:val="center"/>
            </w:pPr>
            <w:r>
              <w:rPr>
                <w:rFonts w:hint="eastAsia"/>
              </w:rPr>
              <w:t>区县</w:t>
            </w:r>
          </w:p>
        </w:tc>
        <w:tc>
          <w:tcPr>
            <w:tcW w:w="1985" w:type="dxa"/>
            <w:vAlign w:val="center"/>
          </w:tcPr>
          <w:p w14:paraId="06DCA2BA">
            <w:pPr>
              <w:jc w:val="center"/>
            </w:pPr>
            <w:r>
              <w:rPr>
                <w:rFonts w:hint="eastAsia"/>
              </w:rPr>
              <w:t>学校</w:t>
            </w:r>
          </w:p>
        </w:tc>
        <w:tc>
          <w:tcPr>
            <w:tcW w:w="1955" w:type="dxa"/>
            <w:vAlign w:val="center"/>
          </w:tcPr>
          <w:p w14:paraId="595B79B5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2628" w:type="dxa"/>
            <w:vAlign w:val="center"/>
          </w:tcPr>
          <w:p w14:paraId="2559012D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14:paraId="370C2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4" w:type="dxa"/>
          </w:tcPr>
          <w:p w14:paraId="206CAF1B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4" w:type="dxa"/>
            <w:vAlign w:val="center"/>
          </w:tcPr>
          <w:p w14:paraId="048656DC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0BEE44E">
            <w:pPr>
              <w:jc w:val="center"/>
            </w:pPr>
          </w:p>
        </w:tc>
        <w:tc>
          <w:tcPr>
            <w:tcW w:w="1955" w:type="dxa"/>
            <w:vAlign w:val="center"/>
          </w:tcPr>
          <w:p w14:paraId="26494886">
            <w:pPr>
              <w:jc w:val="center"/>
            </w:pPr>
          </w:p>
        </w:tc>
        <w:tc>
          <w:tcPr>
            <w:tcW w:w="2628" w:type="dxa"/>
          </w:tcPr>
          <w:p w14:paraId="646FFB65">
            <w:pPr>
              <w:jc w:val="center"/>
            </w:pPr>
          </w:p>
        </w:tc>
      </w:tr>
      <w:tr w14:paraId="07B0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4" w:type="dxa"/>
          </w:tcPr>
          <w:p w14:paraId="691FAFE1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274" w:type="dxa"/>
            <w:vAlign w:val="center"/>
          </w:tcPr>
          <w:p w14:paraId="7FAB2AC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495A8B4">
            <w:pPr>
              <w:jc w:val="center"/>
            </w:pPr>
          </w:p>
        </w:tc>
        <w:tc>
          <w:tcPr>
            <w:tcW w:w="1955" w:type="dxa"/>
            <w:vAlign w:val="center"/>
          </w:tcPr>
          <w:p w14:paraId="5C75DE13">
            <w:pPr>
              <w:jc w:val="center"/>
            </w:pPr>
          </w:p>
        </w:tc>
        <w:tc>
          <w:tcPr>
            <w:tcW w:w="2628" w:type="dxa"/>
          </w:tcPr>
          <w:p w14:paraId="30D57331">
            <w:pPr>
              <w:jc w:val="center"/>
            </w:pPr>
          </w:p>
        </w:tc>
      </w:tr>
      <w:tr w14:paraId="7F708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4" w:type="dxa"/>
          </w:tcPr>
          <w:p w14:paraId="2AB58376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274" w:type="dxa"/>
            <w:vAlign w:val="center"/>
          </w:tcPr>
          <w:p w14:paraId="1080FEE4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FBF2D12">
            <w:pPr>
              <w:jc w:val="center"/>
            </w:pPr>
          </w:p>
        </w:tc>
        <w:tc>
          <w:tcPr>
            <w:tcW w:w="1955" w:type="dxa"/>
            <w:vAlign w:val="center"/>
          </w:tcPr>
          <w:p w14:paraId="2430E6E1">
            <w:pPr>
              <w:jc w:val="center"/>
            </w:pPr>
          </w:p>
        </w:tc>
        <w:tc>
          <w:tcPr>
            <w:tcW w:w="2628" w:type="dxa"/>
          </w:tcPr>
          <w:p w14:paraId="03160954">
            <w:pPr>
              <w:jc w:val="center"/>
            </w:pPr>
          </w:p>
        </w:tc>
      </w:tr>
      <w:tr w14:paraId="50D5C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4" w:type="dxa"/>
          </w:tcPr>
          <w:p w14:paraId="1B3EC28E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274" w:type="dxa"/>
            <w:vAlign w:val="center"/>
          </w:tcPr>
          <w:p w14:paraId="51BA845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B741E19">
            <w:pPr>
              <w:jc w:val="center"/>
            </w:pPr>
          </w:p>
        </w:tc>
        <w:tc>
          <w:tcPr>
            <w:tcW w:w="1955" w:type="dxa"/>
            <w:vAlign w:val="center"/>
          </w:tcPr>
          <w:p w14:paraId="30B3A822">
            <w:pPr>
              <w:jc w:val="center"/>
            </w:pPr>
          </w:p>
        </w:tc>
        <w:tc>
          <w:tcPr>
            <w:tcW w:w="2628" w:type="dxa"/>
          </w:tcPr>
          <w:p w14:paraId="7745EE59">
            <w:pPr>
              <w:jc w:val="center"/>
            </w:pPr>
          </w:p>
        </w:tc>
      </w:tr>
      <w:tr w14:paraId="58B61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274" w:type="dxa"/>
          </w:tcPr>
          <w:p w14:paraId="3595CF9F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74" w:type="dxa"/>
            <w:vAlign w:val="center"/>
          </w:tcPr>
          <w:p w14:paraId="4F4AE68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77A5B67">
            <w:pPr>
              <w:jc w:val="center"/>
            </w:pPr>
          </w:p>
        </w:tc>
        <w:tc>
          <w:tcPr>
            <w:tcW w:w="1955" w:type="dxa"/>
            <w:vAlign w:val="center"/>
          </w:tcPr>
          <w:p w14:paraId="7C114526">
            <w:pPr>
              <w:jc w:val="center"/>
            </w:pPr>
          </w:p>
        </w:tc>
        <w:tc>
          <w:tcPr>
            <w:tcW w:w="2628" w:type="dxa"/>
          </w:tcPr>
          <w:p w14:paraId="3D96AEA1">
            <w:pPr>
              <w:jc w:val="center"/>
            </w:pPr>
          </w:p>
        </w:tc>
      </w:tr>
    </w:tbl>
    <w:p w14:paraId="2A2EED22">
      <w:pPr>
        <w:spacing w:line="600" w:lineRule="exact"/>
        <w:ind w:firstLine="640" w:firstLineChars="200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仿宋" w:eastAsia="方正仿宋_GBK" w:cs="仿宋"/>
          <w:sz w:val="32"/>
          <w:szCs w:val="32"/>
        </w:rPr>
        <w:t>注：本表可根据实际人数增减</w:t>
      </w:r>
    </w:p>
    <w:p w14:paraId="3BE53EF1"/>
    <w:p w14:paraId="01EDD8A5"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5NmU3OTYzOGFkY2E4OTRkYmRjMWNmNGQ1NThiZTAifQ=="/>
  </w:docVars>
  <w:rsids>
    <w:rsidRoot w:val="55DE1D77"/>
    <w:rsid w:val="55DE1D77"/>
    <w:rsid w:val="7C5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2024-09-25T01:30:00Z</dcterms:created>
  <dc:creator>周念珠</dc:creator>
  <cp:lastModifiedBy>周念珠</cp:lastModifiedBy>
  <dcterms:modified xsi:type="dcterms:W3CDTF">2024-09-25T01:40:04Z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052F6C4BE37741F2B5BC93C99DF58F40_11</vt:lpwstr>
  </property>
</Properties>
</file>