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05" w:rsidRPr="00CE5F16" w:rsidRDefault="00272505" w:rsidP="00272505">
      <w:pPr>
        <w:widowControl w:val="0"/>
        <w:spacing w:line="520" w:lineRule="exact"/>
        <w:jc w:val="center"/>
        <w:textAlignment w:val="auto"/>
        <w:rPr>
          <w:rFonts w:ascii="Times New Roman" w:eastAsia="方正小标宋_GBK" w:hAnsi="Times New Roman"/>
          <w:bCs/>
          <w:color w:val="000000" w:themeColor="text1"/>
          <w:kern w:val="0"/>
          <w:sz w:val="44"/>
          <w:szCs w:val="44"/>
        </w:rPr>
      </w:pPr>
    </w:p>
    <w:p w:rsidR="00272505" w:rsidRDefault="00272505" w:rsidP="00272505">
      <w:pPr>
        <w:widowControl w:val="0"/>
        <w:spacing w:line="520" w:lineRule="exact"/>
        <w:jc w:val="center"/>
        <w:textAlignment w:val="auto"/>
        <w:rPr>
          <w:rFonts w:ascii="Times New Roman" w:eastAsia="方正小标宋_GBK" w:hAnsi="Times New Roman" w:hint="eastAsia"/>
          <w:bCs/>
          <w:color w:val="000000" w:themeColor="text1"/>
          <w:kern w:val="0"/>
          <w:sz w:val="44"/>
          <w:szCs w:val="44"/>
        </w:rPr>
      </w:pPr>
    </w:p>
    <w:p w:rsidR="00CE5F16" w:rsidRDefault="00CE5F16" w:rsidP="00272505">
      <w:pPr>
        <w:widowControl w:val="0"/>
        <w:spacing w:line="520" w:lineRule="exact"/>
        <w:jc w:val="center"/>
        <w:textAlignment w:val="auto"/>
        <w:rPr>
          <w:rFonts w:ascii="Times New Roman" w:eastAsia="方正小标宋_GBK" w:hAnsi="Times New Roman" w:hint="eastAsia"/>
          <w:bCs/>
          <w:color w:val="000000" w:themeColor="text1"/>
          <w:kern w:val="0"/>
          <w:sz w:val="44"/>
          <w:szCs w:val="44"/>
        </w:rPr>
      </w:pPr>
    </w:p>
    <w:p w:rsidR="00CE5F16" w:rsidRPr="00CE5F16" w:rsidRDefault="00CE5F16" w:rsidP="00272505">
      <w:pPr>
        <w:widowControl w:val="0"/>
        <w:spacing w:line="520" w:lineRule="exact"/>
        <w:jc w:val="center"/>
        <w:textAlignment w:val="auto"/>
        <w:rPr>
          <w:rFonts w:ascii="Times New Roman" w:eastAsia="方正小标宋_GBK" w:hAnsi="Times New Roman"/>
          <w:bCs/>
          <w:color w:val="000000" w:themeColor="text1"/>
          <w:kern w:val="0"/>
          <w:sz w:val="44"/>
          <w:szCs w:val="44"/>
        </w:rPr>
      </w:pPr>
    </w:p>
    <w:p w:rsidR="002C2351" w:rsidRPr="00CE5F16" w:rsidRDefault="00272505" w:rsidP="005E133B">
      <w:pPr>
        <w:widowControl w:val="0"/>
        <w:spacing w:line="520" w:lineRule="exact"/>
        <w:jc w:val="center"/>
        <w:textAlignment w:val="auto"/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</w:pPr>
      <w:r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关于</w:t>
      </w:r>
      <w:r w:rsidR="002C2351"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推荐</w:t>
      </w:r>
      <w:r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重庆市</w:t>
      </w:r>
      <w:r w:rsidR="005E133B"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2022年</w:t>
      </w:r>
      <w:r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职业院校技能大赛</w:t>
      </w:r>
    </w:p>
    <w:p w:rsidR="00272505" w:rsidRPr="00CE5F16" w:rsidRDefault="00272505" w:rsidP="005E133B">
      <w:pPr>
        <w:widowControl w:val="0"/>
        <w:spacing w:line="520" w:lineRule="exact"/>
        <w:jc w:val="center"/>
        <w:textAlignment w:val="auto"/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</w:pPr>
      <w:r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裁判</w:t>
      </w:r>
      <w:r w:rsidR="00DB1FD0"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员</w:t>
      </w:r>
      <w:r w:rsidRPr="00CE5F16">
        <w:rPr>
          <w:rFonts w:ascii="方正小标宋_GBK" w:eastAsia="方正小标宋_GBK" w:hAnsi="Times New Roman" w:hint="eastAsia"/>
          <w:bCs/>
          <w:color w:val="000000" w:themeColor="text1"/>
          <w:kern w:val="0"/>
          <w:sz w:val="44"/>
          <w:szCs w:val="44"/>
        </w:rPr>
        <w:t>的通知</w:t>
      </w:r>
    </w:p>
    <w:p w:rsidR="00272505" w:rsidRPr="00CE5F16" w:rsidRDefault="00272505" w:rsidP="00272505">
      <w:pPr>
        <w:widowControl w:val="0"/>
        <w:spacing w:line="520" w:lineRule="exact"/>
        <w:textAlignment w:val="auto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272505" w:rsidRPr="00CE5F16" w:rsidRDefault="00272505" w:rsidP="00F06273">
      <w:pPr>
        <w:spacing w:line="560" w:lineRule="exact"/>
        <w:rPr>
          <w:rFonts w:ascii="方正仿宋_GBK" w:eastAsia="方正仿宋_GBK" w:hint="eastAsia"/>
          <w:color w:val="000000" w:themeColor="text1"/>
          <w:sz w:val="32"/>
          <w:szCs w:val="32"/>
        </w:rPr>
      </w:pPr>
      <w:bookmarkStart w:id="0" w:name="_GoBack"/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各有关单位：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为进一步提升重庆市职业院校技能大赛办赛质量，确保大赛公平、公正和健康有序开展，经研究，决定启动大赛</w:t>
      </w:r>
      <w:r w:rsidR="00DB1FD0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裁判员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推荐工作。现将有关事项通知如下：</w:t>
      </w:r>
    </w:p>
    <w:p w:rsidR="006844B9" w:rsidRPr="00CE5F16" w:rsidRDefault="006844B9" w:rsidP="00F06273">
      <w:pPr>
        <w:spacing w:line="560" w:lineRule="exact"/>
        <w:ind w:firstLineChars="200" w:firstLine="640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一、推荐时间</w:t>
      </w:r>
    </w:p>
    <w:p w:rsidR="006844B9" w:rsidRPr="00CE5F16" w:rsidRDefault="00EA37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2022年3月3日—3月9日</w:t>
      </w:r>
      <w:r w:rsidR="003C0AEE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过期</w:t>
      </w:r>
      <w:r w:rsidR="00DB1FD0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视为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自动放弃推荐资格。</w:t>
      </w:r>
    </w:p>
    <w:p w:rsidR="00272505" w:rsidRPr="00CE5F16" w:rsidRDefault="006844B9" w:rsidP="00F06273">
      <w:pPr>
        <w:spacing w:line="560" w:lineRule="exact"/>
        <w:ind w:firstLineChars="200" w:firstLine="640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二</w:t>
      </w:r>
      <w:r w:rsidR="00272505"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、推荐范围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本科院校，高职院校，市、区（县）教研机构，行业企业。</w:t>
      </w:r>
    </w:p>
    <w:p w:rsidR="00272505" w:rsidRPr="00CE5F16" w:rsidRDefault="006844B9" w:rsidP="00F06273">
      <w:pPr>
        <w:spacing w:line="560" w:lineRule="exact"/>
        <w:ind w:firstLineChars="200" w:firstLine="640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三</w:t>
      </w:r>
      <w:r w:rsidR="00272505"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、推荐条件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（一）具有良好的职业道德和心理素质，严守大赛纪律，服从组织安排，责任心强。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（二）从事</w:t>
      </w:r>
      <w:r w:rsidR="00DB1FD0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赛项相关专业（职业）5年及以上，熟悉赛项规程和比赛标准，能够独立进行评判和评价工作，有较强的组织协调能力和临场应变能力。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（三）年龄原则上应在65周岁以下，身体健康，无任何违法违纪记录，且获得工作单位支持，能在规定时间内参与执裁工作，并按要求完成指定任务。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（四）具备以下条件之一：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1.</w:t>
      </w:r>
      <w:r w:rsidR="0043157F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取得副高级及以上专业技术职务；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r w:rsidR="0043157F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取得技师及以上职业技能等级证书（执业资格证书）；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3.</w:t>
      </w:r>
      <w:r w:rsidR="0043157F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担任过省级及以上职业技能大赛裁判；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4.个人参赛或指导学生参赛获得省部级技能大赛一等奖及以上。</w:t>
      </w:r>
    </w:p>
    <w:p w:rsidR="00272505" w:rsidRPr="00CE5F16" w:rsidRDefault="00CE5F16" w:rsidP="00F06273">
      <w:pPr>
        <w:spacing w:line="560" w:lineRule="exact"/>
        <w:ind w:firstLineChars="200" w:firstLine="640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四</w:t>
      </w:r>
      <w:r w:rsidR="00272505"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、推荐</w:t>
      </w:r>
      <w:r w:rsidR="006844B9" w:rsidRPr="00CE5F16">
        <w:rPr>
          <w:rFonts w:ascii="方正黑体_GBK" w:eastAsia="方正黑体_GBK" w:hint="eastAsia"/>
          <w:color w:val="000000" w:themeColor="text1"/>
          <w:sz w:val="32"/>
          <w:szCs w:val="32"/>
        </w:rPr>
        <w:t>办法</w:t>
      </w:r>
    </w:p>
    <w:p w:rsidR="00484A7D" w:rsidRPr="00CE5F16" w:rsidRDefault="00272505" w:rsidP="00F06273">
      <w:pPr>
        <w:spacing w:line="560" w:lineRule="exact"/>
        <w:ind w:firstLineChars="200" w:firstLine="640"/>
        <w:rPr>
          <w:rFonts w:ascii="方正楷体_GBK" w:eastAsia="方正楷体_GBK" w:hint="eastAsia"/>
          <w:color w:val="000000" w:themeColor="text1"/>
          <w:sz w:val="32"/>
          <w:szCs w:val="32"/>
        </w:rPr>
      </w:pPr>
      <w:r w:rsidRPr="00CE5F16">
        <w:rPr>
          <w:rFonts w:ascii="方正楷体_GBK" w:eastAsia="方正楷体_GBK" w:hint="eastAsia"/>
          <w:color w:val="000000" w:themeColor="text1"/>
          <w:sz w:val="32"/>
          <w:szCs w:val="32"/>
        </w:rPr>
        <w:t>（一）</w:t>
      </w:r>
      <w:r w:rsidR="00EA3085" w:rsidRPr="00CE5F16">
        <w:rPr>
          <w:rFonts w:ascii="方正楷体_GBK" w:eastAsia="方正楷体_GBK" w:hint="eastAsia"/>
          <w:color w:val="000000" w:themeColor="text1"/>
          <w:sz w:val="32"/>
          <w:szCs w:val="32"/>
        </w:rPr>
        <w:t>推荐单位</w:t>
      </w:r>
    </w:p>
    <w:p w:rsidR="00272505" w:rsidRPr="00CE5F16" w:rsidRDefault="00EA308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包括本科院校、教研机构、</w:t>
      </w:r>
      <w:r w:rsidR="00877D2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职业院校、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行业企业。</w:t>
      </w:r>
      <w:r w:rsidR="0027250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各单位要高度重视裁判的推荐工作，坚持实事求是，严格把关，确保推荐人选的权威性、代表性和广泛性。</w:t>
      </w:r>
    </w:p>
    <w:p w:rsidR="006844B9" w:rsidRPr="00CE5F16" w:rsidRDefault="00272505" w:rsidP="00F06273">
      <w:pPr>
        <w:spacing w:line="560" w:lineRule="exact"/>
        <w:ind w:firstLineChars="200" w:firstLine="640"/>
        <w:rPr>
          <w:rFonts w:ascii="方正楷体_GBK" w:eastAsia="方正楷体_GBK" w:hint="eastAsia"/>
          <w:color w:val="000000" w:themeColor="text1"/>
          <w:sz w:val="32"/>
          <w:szCs w:val="32"/>
        </w:rPr>
      </w:pPr>
      <w:r w:rsidRPr="00CE5F16">
        <w:rPr>
          <w:rFonts w:ascii="方正楷体_GBK" w:eastAsia="方正楷体_GBK" w:hint="eastAsia"/>
          <w:color w:val="000000" w:themeColor="text1"/>
          <w:sz w:val="32"/>
          <w:szCs w:val="32"/>
        </w:rPr>
        <w:t>（二）</w:t>
      </w:r>
      <w:r w:rsidR="00DE7203" w:rsidRPr="00CE5F16">
        <w:rPr>
          <w:rFonts w:ascii="方正楷体_GBK" w:eastAsia="方正楷体_GBK" w:hint="eastAsia"/>
          <w:color w:val="000000" w:themeColor="text1"/>
          <w:sz w:val="32"/>
          <w:szCs w:val="32"/>
        </w:rPr>
        <w:t>推荐</w:t>
      </w:r>
      <w:r w:rsidR="00484A7D" w:rsidRPr="00CE5F16">
        <w:rPr>
          <w:rFonts w:ascii="方正楷体_GBK" w:eastAsia="方正楷体_GBK" w:hint="eastAsia"/>
          <w:color w:val="000000" w:themeColor="text1"/>
          <w:sz w:val="32"/>
          <w:szCs w:val="32"/>
        </w:rPr>
        <w:t>流程</w:t>
      </w:r>
    </w:p>
    <w:p w:rsidR="006844B9" w:rsidRPr="00CE5F16" w:rsidRDefault="006844B9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1.</w:t>
      </w:r>
      <w:r w:rsidR="0027250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被推荐人员</w:t>
      </w:r>
      <w:r w:rsidR="0043229A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如实</w:t>
      </w:r>
      <w:r w:rsidR="0027250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填写“大赛裁判</w:t>
      </w:r>
      <w:r w:rsidR="0043229A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员</w:t>
      </w:r>
      <w:r w:rsidR="0027250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推荐表”（附件2）</w:t>
      </w:r>
      <w:r w:rsidR="00DE7203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43229A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并</w:t>
      </w:r>
      <w:r w:rsidR="001D076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在表内指定位置粘贴</w:t>
      </w:r>
      <w:r w:rsidR="0043229A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相关佐证材料照片，盖所在单位</w:t>
      </w:r>
      <w:r w:rsidR="00EA308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或</w:t>
      </w:r>
      <w:r w:rsidR="00DE7203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推荐单位公章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；</w:t>
      </w:r>
    </w:p>
    <w:p w:rsidR="00484A7D" w:rsidRPr="00CE5F16" w:rsidRDefault="006844B9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r w:rsidR="00484A7D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登录大赛平台（网址：</w:t>
      </w:r>
      <w:hyperlink r:id="rId7" w:history="1">
        <w:r w:rsidR="00484A7D" w:rsidRPr="00CE5F16">
          <w:rPr>
            <w:rStyle w:val="a6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http://125.84.158.248:8085</w:t>
        </w:r>
      </w:hyperlink>
      <w:r w:rsidR="00484A7D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），填写提交个人基本信息及可执裁赛项信息，上传“大赛裁判员推荐表”盖章扫描件。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提交方式</w:t>
      </w:r>
      <w:r w:rsidR="00484A7D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可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在以下两种中任</w:t>
      </w:r>
      <w:r w:rsidR="00484A7D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选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其一</w:t>
      </w:r>
      <w:r w:rsidR="00484A7D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</w:p>
    <w:p w:rsidR="00484A7D" w:rsidRPr="00CE5F16" w:rsidRDefault="00484A7D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（1）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以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裁判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本人手机号</w:t>
      </w:r>
      <w:r w:rsidR="0043229A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注册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登录大赛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平台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填写提交；</w:t>
      </w:r>
    </w:p>
    <w:p w:rsidR="00DE7203" w:rsidRPr="00CE5F16" w:rsidRDefault="00484A7D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（2）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推荐单位为重庆市内职业院校的，可由推荐院校登录本校</w:t>
      </w:r>
      <w:r w:rsidR="0087646F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大赛报名工作的</w:t>
      </w:r>
      <w:r w:rsidR="001D076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参赛审核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账号</w:t>
      </w:r>
      <w:r w:rsidR="004828E7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填写提交</w:t>
      </w:r>
      <w:r w:rsidR="00AC4C2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1D0765" w:rsidRPr="00CE5F16" w:rsidRDefault="001D076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以上两种提交方式的</w:t>
      </w:r>
      <w:r w:rsidR="00E9590F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平台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操作说明见附件3。</w:t>
      </w:r>
    </w:p>
    <w:p w:rsidR="001D076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联系人：</w:t>
      </w:r>
      <w:r w:rsidR="001D076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大赛办公室  邓  爽  18696675811 （高职组）</w:t>
      </w:r>
    </w:p>
    <w:p w:rsidR="001D0765" w:rsidRPr="00CE5F16" w:rsidRDefault="001D076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李  嫦  18696998600 （中职组）</w:t>
      </w:r>
    </w:p>
    <w:p w:rsidR="00272505" w:rsidRPr="00CE5F16" w:rsidRDefault="001D076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技术联系人  陈  甫  18716464200  </w:t>
      </w: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272505" w:rsidRPr="00CE5F16" w:rsidRDefault="00272505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附件：1.</w:t>
      </w:r>
      <w:bookmarkStart w:id="1" w:name="_Hlk67849008"/>
      <w:r w:rsidR="0037035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重庆市2022年职业院校技能大赛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赛项</w:t>
      </w:r>
      <w:bookmarkEnd w:id="1"/>
    </w:p>
    <w:p w:rsidR="00272505" w:rsidRPr="00CE5F16" w:rsidRDefault="00272505" w:rsidP="00F06273">
      <w:pPr>
        <w:spacing w:line="560" w:lineRule="exact"/>
        <w:ind w:firstLineChars="500" w:firstLine="160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bookmarkStart w:id="2" w:name="_Hlk67847355"/>
      <w:r w:rsidR="0037035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重庆市2022年职业院校技能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大赛裁判</w:t>
      </w:r>
      <w:r w:rsidR="0037035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员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推荐表</w:t>
      </w:r>
      <w:bookmarkEnd w:id="2"/>
    </w:p>
    <w:p w:rsidR="00B67441" w:rsidRPr="00CE5F16" w:rsidRDefault="00B67441" w:rsidP="00F06273">
      <w:pPr>
        <w:spacing w:line="560" w:lineRule="exact"/>
        <w:ind w:firstLineChars="500" w:firstLine="160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3.</w:t>
      </w:r>
      <w:r w:rsidR="0001755B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大赛</w:t>
      </w:r>
      <w:r w:rsidR="00972A18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平台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裁判</w:t>
      </w:r>
      <w:r w:rsidR="006844B9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推荐</w:t>
      </w:r>
      <w:r w:rsidR="00370355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操作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说明</w:t>
      </w:r>
    </w:p>
    <w:p w:rsidR="00BE2434" w:rsidRPr="00CE5F16" w:rsidRDefault="00BE2434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E55D9B" w:rsidRPr="00CE5F16" w:rsidRDefault="00E55D9B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6C3DE2" w:rsidRPr="00CE5F16" w:rsidRDefault="006C3DE2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  </w:t>
      </w:r>
      <w:r w:rsid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    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 w:rsidR="00BE2434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重庆市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职业院校技能大赛</w:t>
      </w:r>
      <w:r w:rsidR="00BE2434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组委会办公室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</w:p>
    <w:p w:rsidR="006C3DE2" w:rsidRPr="00CE5F16" w:rsidRDefault="00BE2434" w:rsidP="00F06273">
      <w:pPr>
        <w:spacing w:line="5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                   </w:t>
      </w:r>
      <w:r w:rsid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6C3DE2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202</w:t>
      </w:r>
      <w:r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="006C3DE2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年</w:t>
      </w:r>
      <w:r w:rsidR="008A7648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="006C3DE2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 w:rsidR="00AC466C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="006C3DE2" w:rsidRPr="00CE5F16"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</w:p>
    <w:p w:rsidR="006C3DE2" w:rsidRDefault="006C3DE2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bookmarkEnd w:id="0"/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F06273" w:rsidRDefault="00F06273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Pr="00271B3C" w:rsidRDefault="00CE5F16" w:rsidP="00CE5F16">
      <w:pPr>
        <w:rPr>
          <w:rFonts w:ascii="方正黑体_GBK" w:eastAsia="方正黑体_GBK" w:hAnsi="Times New Roman" w:hint="eastAsia"/>
          <w:kern w:val="0"/>
          <w:sz w:val="32"/>
          <w:szCs w:val="32"/>
        </w:rPr>
      </w:pPr>
      <w:r w:rsidRPr="00271B3C">
        <w:rPr>
          <w:rFonts w:ascii="方正黑体_GBK" w:eastAsia="方正黑体_GBK" w:hAnsi="Times New Roman" w:hint="eastAsia"/>
          <w:kern w:val="0"/>
          <w:sz w:val="32"/>
          <w:szCs w:val="32"/>
        </w:rPr>
        <w:t>附件1</w:t>
      </w:r>
    </w:p>
    <w:p w:rsidR="00CE5F16" w:rsidRPr="00271B3C" w:rsidRDefault="00CE5F16" w:rsidP="00CE5F16">
      <w:pPr>
        <w:rPr>
          <w:rFonts w:ascii="方正仿宋_GBK" w:eastAsia="方正仿宋_GBK" w:hint="eastAsia"/>
        </w:rPr>
      </w:pPr>
    </w:p>
    <w:p w:rsidR="00CE5F16" w:rsidRPr="00271B3C" w:rsidRDefault="00CE5F16" w:rsidP="00CE5F16">
      <w:pPr>
        <w:widowControl w:val="0"/>
        <w:spacing w:line="520" w:lineRule="exact"/>
        <w:jc w:val="center"/>
        <w:textAlignment w:val="auto"/>
        <w:rPr>
          <w:rFonts w:ascii="方正小标宋_GBK" w:eastAsia="方正小标宋_GBK" w:hAnsi="Times New Roman" w:hint="eastAsia"/>
          <w:bCs/>
          <w:kern w:val="0"/>
          <w:sz w:val="44"/>
          <w:szCs w:val="44"/>
        </w:rPr>
      </w:pPr>
      <w:r w:rsidRPr="00271B3C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重庆市2022年职业院校技能大赛赛项</w:t>
      </w:r>
    </w:p>
    <w:p w:rsidR="00CE5F16" w:rsidRPr="00271B3C" w:rsidRDefault="00CE5F16" w:rsidP="00CE5F16">
      <w:pPr>
        <w:widowControl w:val="0"/>
        <w:spacing w:line="520" w:lineRule="exact"/>
        <w:jc w:val="center"/>
        <w:textAlignment w:val="auto"/>
        <w:rPr>
          <w:rFonts w:ascii="方正仿宋_GBK" w:eastAsia="方正仿宋_GBK" w:hAnsi="Times New Roman" w:hint="eastAsia"/>
          <w:bCs/>
          <w:kern w:val="0"/>
          <w:sz w:val="44"/>
          <w:szCs w:val="4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48"/>
        <w:gridCol w:w="4394"/>
      </w:tblGrid>
      <w:tr w:rsidR="00CE5F16" w:rsidRPr="00271B3C" w:rsidTr="00CE5F16">
        <w:trPr>
          <w:trHeight w:val="178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赛项编号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Times New Roman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hint="eastAsia"/>
                <w:b/>
                <w:bCs/>
                <w:kern w:val="0"/>
                <w:sz w:val="28"/>
                <w:szCs w:val="28"/>
              </w:rPr>
              <w:t>专业大类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Times New Roman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hint="eastAsia"/>
                <w:b/>
                <w:bCs/>
                <w:kern w:val="0"/>
                <w:sz w:val="28"/>
                <w:szCs w:val="28"/>
              </w:rPr>
              <w:t>赛项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农机维修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手工制茶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蔬菜嫁接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兽医诊疗技术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宠物美容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工程测量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数字化测图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建筑CAD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建筑设备安装与调控（给排水）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建筑装饰技能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建筑智能化系统安装与调试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BIM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零部件测绘与CAD成图技术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机电一体化设备组装与调试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机器人技术应用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数控综合应用技术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制冷与空调设备组装与调试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电气安装与维修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焊接技术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现代模具制造技术-注塑模具技术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液压与气动系统装调与维护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增材制造技术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数控车工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新能源汽车检测与维修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工业分析检验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服装设计与工艺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汽车机电维修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汽车营销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车身修理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汽车涂装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城市轨道交通服务员综合技能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电子电路装调与应用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虚拟现实（VR）制作与应用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物联网技术应用与维护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工业产品设计与创客实践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网络安全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网络搭建与应用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分布式光伏系统的调试与运维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计算机检测维修与数据恢复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网络布线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智能家居安装与维护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web前端开发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大数据技术应用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集成电路测试及应用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护理技能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康复技术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CQZZ-2022047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电子商务技能(PC端）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电子商务技能(移动端）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沙盘模拟企业经营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现代物流综合作业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大数据会计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智能财税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酒店服务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中餐宴席制作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咖啡制作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模特表演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美发与形象设计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服装陈列与展示设计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动漫游戏美术设计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民族民间传统手工制作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幼儿保育教师综合技能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CQZZ-2022061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职业英语技能(服务类）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职业英语技能(其他类）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老年照护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农产品质量安全检测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花艺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园艺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工程测量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大气环境监测与治理技术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水处理技术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能源动力与材料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风光互补发电系统安装与调试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建筑装饰技术应用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建筑工程识图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建筑信息模型综合应用技术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机电一体化项目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工业设计技术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数控机床装调与技术改造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模具数字化设计与制造工艺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机器人系统集成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现代电气控制系统安装与调试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智能电梯装调与维护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工业机器人技术应用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机器视觉系统应用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新能源汽车技术与服务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化工生产技术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化学实验技术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服装设计与工艺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飞机发动机拆装调试与维修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轨道车辆技术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电子产品设计及制作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集成电路开发及应用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嵌入式应用技术开发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光伏电子工程的设计与实施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物联网技术应用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网络系统管理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软件测试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虚拟现实（VR）设计与制作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信息安全管理与评估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移动应用开发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云计算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大数据技术与应用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5G全网建设技术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区块链技术应用创新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Web技术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护理技能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中药传统技能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会计技能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互联网+国际贸易综合技能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关务技能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市场营销技能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智慧物流作业方案设计与实施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货运代理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银行业务综合技能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创新创业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CQGZ-2022053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智能财税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商务数据分析与应用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财务数据分析与应用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RPA财务机器人应用与开发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CQGZ-2022057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导游服务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CQGZ-2022058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烹饪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CQGZ-2022059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餐厅服务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CQGZ-2022060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艺术专业技能（声乐表演）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CQGZ-2022061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产品包装设计及制作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学前教育专业教育技能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CQGZ-2022063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英语口语（英语专业组）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英语口语（非英语专业组）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CQGZ-2022064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健康与社会照护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CQGZ-2022065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养老服务技能</w:t>
            </w:r>
          </w:p>
        </w:tc>
      </w:tr>
      <w:tr w:rsidR="00CE5F16" w:rsidRPr="00271B3C" w:rsidTr="00CE5F16">
        <w:trPr>
          <w:trHeight w:val="567"/>
          <w:jc w:val="center"/>
        </w:trPr>
        <w:tc>
          <w:tcPr>
            <w:tcW w:w="2572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CQGZ-2022066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5F16" w:rsidRPr="00271B3C" w:rsidRDefault="00CE5F16" w:rsidP="00CE5F16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矿井灾害应急救援技术</w:t>
            </w:r>
          </w:p>
        </w:tc>
      </w:tr>
    </w:tbl>
    <w:p w:rsidR="00CE5F16" w:rsidRPr="00271B3C" w:rsidRDefault="00CE5F16" w:rsidP="00CE5F16">
      <w:pPr>
        <w:widowControl w:val="0"/>
        <w:spacing w:line="520" w:lineRule="exact"/>
        <w:jc w:val="center"/>
        <w:textAlignment w:val="auto"/>
        <w:rPr>
          <w:rFonts w:ascii="方正仿宋_GBK" w:eastAsia="方正仿宋_GBK" w:hAnsi="Times New Roman" w:hint="eastAsia"/>
          <w:bCs/>
          <w:kern w:val="0"/>
          <w:sz w:val="44"/>
          <w:szCs w:val="44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CE5F16" w:rsidRDefault="00CE5F16" w:rsidP="00CE5F16">
      <w:pPr>
        <w:pStyle w:val="a7"/>
        <w:spacing w:before="0" w:beforeAutospacing="0" w:after="0" w:afterAutospacing="0" w:line="600" w:lineRule="exact"/>
        <w:rPr>
          <w:rFonts w:ascii="方正黑体_GBK" w:eastAsia="方正黑体_GBK" w:hAnsi="华文仿宋" w:cs="宋体"/>
          <w:color w:val="000000"/>
          <w:sz w:val="32"/>
          <w:szCs w:val="32"/>
        </w:rPr>
      </w:pPr>
      <w:r w:rsidRPr="00166F5D">
        <w:rPr>
          <w:rFonts w:ascii="方正黑体_GBK" w:eastAsia="方正黑体_GBK" w:hAnsi="华文仿宋" w:cs="宋体" w:hint="eastAsia"/>
          <w:color w:val="000000"/>
          <w:sz w:val="32"/>
          <w:szCs w:val="32"/>
        </w:rPr>
        <w:t>附件2</w:t>
      </w:r>
    </w:p>
    <w:p w:rsidR="00CE5F16" w:rsidRPr="00166F5D" w:rsidRDefault="00CE5F16" w:rsidP="00CE5F16">
      <w:pPr>
        <w:pStyle w:val="a7"/>
        <w:spacing w:before="0" w:beforeAutospacing="0" w:after="0" w:afterAutospacing="0" w:line="600" w:lineRule="exact"/>
        <w:ind w:firstLine="640"/>
        <w:rPr>
          <w:rFonts w:ascii="方正黑体_GBK" w:eastAsia="方正黑体_GBK" w:hAnsi="华文仿宋" w:cs="宋体"/>
          <w:color w:val="000000"/>
          <w:sz w:val="32"/>
          <w:szCs w:val="32"/>
        </w:rPr>
      </w:pPr>
    </w:p>
    <w:p w:rsidR="00CE5F16" w:rsidRDefault="00CE5F16" w:rsidP="00CE5F16">
      <w:pPr>
        <w:pStyle w:val="a7"/>
        <w:spacing w:before="0" w:beforeAutospacing="0" w:after="0" w:afterAutospacing="0" w:line="600" w:lineRule="exact"/>
        <w:rPr>
          <w:rFonts w:ascii="方正小标宋_GBK" w:eastAsia="方正小标宋_GBK" w:hAnsi="华文仿宋" w:cs="宋体"/>
          <w:color w:val="000000"/>
          <w:sz w:val="44"/>
          <w:szCs w:val="44"/>
        </w:rPr>
      </w:pP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重庆市</w:t>
      </w:r>
      <w:r w:rsidRPr="008E6A48">
        <w:rPr>
          <w:rFonts w:ascii="方正小标宋_GBK" w:eastAsia="方正小标宋_GBK" w:hAnsi="华文仿宋" w:cs="宋体" w:hint="eastAsia"/>
          <w:bCs/>
          <w:color w:val="000000"/>
          <w:sz w:val="44"/>
          <w:szCs w:val="44"/>
        </w:rPr>
        <w:t>2022年</w:t>
      </w: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职业</w:t>
      </w:r>
      <w:r w:rsidRPr="008E6A48">
        <w:rPr>
          <w:rFonts w:ascii="方正小标宋_GBK" w:eastAsia="方正小标宋_GBK" w:hAnsi="华文仿宋" w:cs="宋体" w:hint="eastAsia"/>
          <w:bCs/>
          <w:color w:val="000000"/>
          <w:sz w:val="44"/>
          <w:szCs w:val="44"/>
        </w:rPr>
        <w:t>院</w:t>
      </w:r>
      <w:r w:rsidRPr="008E6A48">
        <w:rPr>
          <w:rFonts w:ascii="方正小标宋_GBK" w:eastAsia="方正小标宋_GBK" w:hAnsi="华文仿宋" w:cs="宋体"/>
          <w:bCs/>
          <w:color w:val="000000"/>
          <w:sz w:val="44"/>
          <w:szCs w:val="44"/>
        </w:rPr>
        <w:t>校技能</w:t>
      </w:r>
      <w:r w:rsidRPr="008E6A48">
        <w:rPr>
          <w:rFonts w:ascii="方正小标宋_GBK" w:eastAsia="方正小标宋_GBK" w:hAnsi="华文仿宋" w:cs="宋体"/>
          <w:color w:val="000000"/>
          <w:sz w:val="44"/>
          <w:szCs w:val="44"/>
        </w:rPr>
        <w:t>大赛裁判</w:t>
      </w:r>
      <w:r w:rsidRPr="008E6A48">
        <w:rPr>
          <w:rFonts w:ascii="方正小标宋_GBK" w:eastAsia="方正小标宋_GBK" w:hAnsi="华文仿宋" w:cs="宋体" w:hint="eastAsia"/>
          <w:color w:val="000000"/>
          <w:sz w:val="44"/>
          <w:szCs w:val="44"/>
        </w:rPr>
        <w:t>员</w:t>
      </w:r>
      <w:r w:rsidRPr="00166F5D">
        <w:rPr>
          <w:rFonts w:ascii="方正小标宋_GBK" w:eastAsia="方正小标宋_GBK" w:hAnsi="华文仿宋" w:cs="宋体" w:hint="eastAsia"/>
          <w:color w:val="000000"/>
          <w:sz w:val="44"/>
          <w:szCs w:val="44"/>
        </w:rPr>
        <w:t>推荐表</w:t>
      </w:r>
    </w:p>
    <w:p w:rsidR="00CE5F16" w:rsidRPr="001F352B" w:rsidRDefault="00CE5F16" w:rsidP="00CE5F16">
      <w:pPr>
        <w:pStyle w:val="a7"/>
        <w:spacing w:before="0" w:beforeAutospacing="0" w:after="0" w:afterAutospacing="0" w:line="600" w:lineRule="exact"/>
        <w:ind w:firstLine="480"/>
        <w:jc w:val="center"/>
        <w:rPr>
          <w:rFonts w:ascii="方正小标宋_GBK" w:eastAsia="方正小标宋_GBK" w:hAnsi="华文仿宋" w:cs="宋体"/>
          <w:color w:val="000000"/>
          <w:szCs w:val="44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2014"/>
        <w:gridCol w:w="1672"/>
        <w:gridCol w:w="1418"/>
        <w:gridCol w:w="2633"/>
        <w:gridCol w:w="2184"/>
      </w:tblGrid>
      <w:tr w:rsidR="00CE5F16" w:rsidTr="00CE5F16">
        <w:trPr>
          <w:trHeight w:val="1408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（证件照粘贴处）</w:t>
            </w:r>
          </w:p>
        </w:tc>
      </w:tr>
      <w:tr w:rsidR="00CE5F16" w:rsidTr="00CE5F16">
        <w:trPr>
          <w:trHeight w:val="1523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 xml:space="preserve"> 龄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775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毕业院校及</w:t>
            </w:r>
          </w:p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831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推荐赛项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1128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754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职业技能等级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E5F16" w:rsidTr="00CE5F16">
        <w:trPr>
          <w:trHeight w:val="1727"/>
          <w:jc w:val="center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F16" w:rsidRPr="001F352B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专业技术职务</w:t>
            </w:r>
            <w:r w:rsidRPr="001F352B"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>/</w:t>
            </w:r>
          </w:p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 w:rsidRPr="001F352B"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行业企业兼职情况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176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擅长领域和专业技术方向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841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个人简历（教育背景、工作经历）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3766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参与技能竞赛活动情况（担任裁判或命题工作的时间、大赛及赛项名称等）或技能大赛获奖情况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3651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佐证材料（职称证、职业技能等级证、参与技能大赛的相关证书等照片）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16" w:rsidRPr="00FC5BAE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E5F16" w:rsidTr="00CE5F16">
        <w:trPr>
          <w:trHeight w:val="2883"/>
          <w:jc w:val="center"/>
        </w:trPr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工作单位或</w:t>
            </w:r>
          </w:p>
          <w:p w:rsidR="00CE5F16" w:rsidRDefault="00CE5F16" w:rsidP="00CE5F16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F16" w:rsidRDefault="00CE5F16" w:rsidP="00CE5F16">
            <w:pPr>
              <w:autoSpaceDE w:val="0"/>
              <w:autoSpaceDN w:val="0"/>
              <w:adjustRightInd w:val="0"/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名称（盖章）：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Times New Roman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E5F16" w:rsidRPr="004E1661" w:rsidRDefault="00CE5F16" w:rsidP="00CE5F16"/>
    <w:p w:rsidR="00CF426C" w:rsidRPr="00624D23" w:rsidRDefault="00CF426C" w:rsidP="00CF426C">
      <w:pPr>
        <w:spacing w:beforeLines="50" w:before="156" w:afterLines="50" w:after="156" w:line="480" w:lineRule="exact"/>
        <w:rPr>
          <w:rFonts w:ascii="方正黑体_GBK" w:eastAsia="方正黑体_GBK" w:hAnsi="仿宋" w:hint="eastAsia"/>
          <w:sz w:val="32"/>
          <w:szCs w:val="32"/>
        </w:rPr>
      </w:pPr>
      <w:r w:rsidRPr="00624D23">
        <w:rPr>
          <w:rFonts w:ascii="方正黑体_GBK" w:eastAsia="方正黑体_GBK" w:hAnsi="仿宋" w:hint="eastAsia"/>
          <w:sz w:val="32"/>
          <w:szCs w:val="32"/>
        </w:rPr>
        <w:t xml:space="preserve">附件3 </w:t>
      </w:r>
    </w:p>
    <w:p w:rsidR="00CF426C" w:rsidRDefault="00CF426C" w:rsidP="00CF426C">
      <w:pPr>
        <w:widowControl w:val="0"/>
        <w:spacing w:line="560" w:lineRule="exact"/>
        <w:jc w:val="center"/>
        <w:textAlignment w:val="auto"/>
        <w:rPr>
          <w:rFonts w:ascii="方正小标宋_GBK" w:eastAsia="方正小标宋_GBK" w:hAnsi="微软雅黑" w:cs="微软雅黑" w:hint="eastAsia"/>
          <w:b/>
          <w:sz w:val="44"/>
          <w:szCs w:val="44"/>
        </w:rPr>
      </w:pPr>
    </w:p>
    <w:p w:rsidR="00CF426C" w:rsidRPr="00624D23" w:rsidRDefault="00CF426C" w:rsidP="00CF426C">
      <w:pPr>
        <w:widowControl w:val="0"/>
        <w:spacing w:line="560" w:lineRule="exact"/>
        <w:jc w:val="center"/>
        <w:textAlignment w:val="auto"/>
        <w:rPr>
          <w:rFonts w:ascii="方正小标宋_GBK" w:eastAsia="方正小标宋_GBK" w:hAnsi="微软雅黑" w:cs="微软雅黑" w:hint="eastAsia"/>
          <w:sz w:val="44"/>
          <w:szCs w:val="44"/>
        </w:rPr>
      </w:pPr>
      <w:r w:rsidRPr="00624D23">
        <w:rPr>
          <w:rFonts w:ascii="方正小标宋_GBK" w:eastAsia="方正小标宋_GBK" w:hAnsi="微软雅黑" w:cs="微软雅黑" w:hint="eastAsia"/>
          <w:sz w:val="44"/>
          <w:szCs w:val="44"/>
        </w:rPr>
        <w:t>重庆市职业院校技能大赛平台</w:t>
      </w:r>
    </w:p>
    <w:p w:rsidR="00CF426C" w:rsidRPr="00624D23" w:rsidRDefault="00CF426C" w:rsidP="00CF426C">
      <w:pPr>
        <w:spacing w:beforeLines="50" w:before="156" w:afterLines="50" w:after="156"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624D23">
        <w:rPr>
          <w:rFonts w:ascii="方正小标宋_GBK" w:eastAsia="方正小标宋_GBK" w:hAnsi="微软雅黑" w:cs="微软雅黑" w:hint="eastAsia"/>
          <w:sz w:val="44"/>
          <w:szCs w:val="44"/>
        </w:rPr>
        <w:t>裁判推荐操作说明</w:t>
      </w:r>
    </w:p>
    <w:p w:rsidR="00CF426C" w:rsidRPr="00624D23" w:rsidRDefault="00CF426C" w:rsidP="00CF426C">
      <w:pPr>
        <w:spacing w:beforeLines="50" w:before="156" w:afterLines="50" w:after="156" w:line="480" w:lineRule="exact"/>
        <w:jc w:val="center"/>
        <w:rPr>
          <w:rFonts w:ascii="仿宋" w:eastAsia="仿宋" w:hAnsi="仿宋" w:hint="eastAsia"/>
          <w:sz w:val="40"/>
          <w:szCs w:val="32"/>
        </w:rPr>
      </w:pPr>
    </w:p>
    <w:p w:rsidR="00CF426C" w:rsidRPr="00624D23" w:rsidRDefault="00CF426C" w:rsidP="00CF426C">
      <w:pPr>
        <w:spacing w:beforeLines="50" w:before="156" w:afterLines="50" w:after="156" w:line="480" w:lineRule="exact"/>
        <w:jc w:val="center"/>
        <w:rPr>
          <w:rFonts w:ascii="方正仿宋_GBK" w:eastAsia="方正仿宋_GBK" w:hAnsi="仿宋" w:hint="eastAsia"/>
          <w:b/>
          <w:sz w:val="40"/>
          <w:szCs w:val="32"/>
        </w:rPr>
      </w:pPr>
      <w:r w:rsidRPr="00624D23">
        <w:rPr>
          <w:rFonts w:ascii="方正仿宋_GBK" w:eastAsia="方正仿宋_GBK" w:hAnsi="仿宋" w:hint="eastAsia"/>
          <w:b/>
          <w:sz w:val="40"/>
          <w:szCs w:val="32"/>
        </w:rPr>
        <w:t>目录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634" w:firstLine="2546"/>
        <w:rPr>
          <w:rFonts w:ascii="方正仿宋_GBK" w:eastAsia="方正仿宋_GBK" w:hAnsi="仿宋" w:hint="eastAsia"/>
          <w:b/>
          <w:sz w:val="40"/>
          <w:szCs w:val="32"/>
        </w:rPr>
      </w:pPr>
      <w:r w:rsidRPr="00624D23">
        <w:rPr>
          <w:rFonts w:ascii="方正仿宋_GBK" w:eastAsia="方正仿宋_GBK" w:hAnsi="仿宋" w:hint="eastAsia"/>
          <w:b/>
          <w:sz w:val="40"/>
          <w:szCs w:val="32"/>
        </w:rPr>
        <w:t>一、裁判推荐方式及流程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634" w:firstLine="2546"/>
        <w:rPr>
          <w:rFonts w:ascii="方正仿宋_GBK" w:eastAsia="方正仿宋_GBK" w:hAnsi="仿宋" w:hint="eastAsia"/>
          <w:b/>
          <w:sz w:val="40"/>
          <w:szCs w:val="32"/>
        </w:rPr>
      </w:pPr>
      <w:r w:rsidRPr="00624D23">
        <w:rPr>
          <w:rFonts w:ascii="方正仿宋_GBK" w:eastAsia="方正仿宋_GBK" w:hAnsi="仿宋" w:hint="eastAsia"/>
          <w:b/>
          <w:sz w:val="40"/>
          <w:szCs w:val="32"/>
        </w:rPr>
        <w:t>二、注意事项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634" w:firstLine="2546"/>
        <w:rPr>
          <w:rFonts w:ascii="方正仿宋_GBK" w:eastAsia="方正仿宋_GBK" w:hAnsi="仿宋" w:hint="eastAsia"/>
          <w:b/>
          <w:sz w:val="40"/>
          <w:szCs w:val="32"/>
        </w:rPr>
      </w:pPr>
      <w:r w:rsidRPr="00624D23">
        <w:rPr>
          <w:rFonts w:ascii="方正仿宋_GBK" w:eastAsia="方正仿宋_GBK" w:hAnsi="仿宋" w:hint="eastAsia"/>
          <w:b/>
          <w:sz w:val="40"/>
          <w:szCs w:val="32"/>
        </w:rPr>
        <w:t>三、操作细则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请认真研读说明，严格按照说明的操作要求进行操作；如信息上报审核过程中遇到技术问题，请通过以下方式与平台技术支持组联系。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联系人：陈  甫  18716464200，QQ ：279950331。</w:t>
      </w:r>
    </w:p>
    <w:p w:rsidR="00CF426C" w:rsidRPr="00624D23" w:rsidRDefault="00CF426C" w:rsidP="00CF426C">
      <w:pPr>
        <w:rPr>
          <w:rFonts w:ascii="方正仿宋_GBK" w:eastAsia="方正仿宋_GBK" w:hint="eastAsia"/>
        </w:rPr>
      </w:pPr>
      <w:r w:rsidRPr="00624D23">
        <w:rPr>
          <w:rFonts w:ascii="方正仿宋_GBK" w:eastAsia="方正仿宋_GBK" w:hint="eastAsia"/>
        </w:rPr>
        <w:br w:type="page"/>
      </w:r>
    </w:p>
    <w:p w:rsidR="00CF426C" w:rsidRPr="00624D23" w:rsidRDefault="00CF426C" w:rsidP="00CF426C">
      <w:pPr>
        <w:rPr>
          <w:rFonts w:ascii="方正仿宋_GBK" w:eastAsia="方正仿宋_GBK" w:hint="eastAsia"/>
        </w:rPr>
      </w:pPr>
    </w:p>
    <w:p w:rsidR="00CF426C" w:rsidRPr="00624D23" w:rsidRDefault="00CF426C" w:rsidP="00CF426C">
      <w:pPr>
        <w:rPr>
          <w:rFonts w:ascii="方正仿宋_GBK" w:eastAsia="方正仿宋_GBK" w:hint="eastAsia"/>
        </w:rPr>
      </w:pP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黑体_GBK" w:eastAsia="方正黑体_GBK" w:hAnsi="仿宋" w:hint="eastAsia"/>
          <w:color w:val="FF0000"/>
          <w:sz w:val="32"/>
          <w:szCs w:val="32"/>
        </w:rPr>
      </w:pPr>
      <w:r w:rsidRPr="00624D23">
        <w:rPr>
          <w:rFonts w:ascii="方正黑体_GBK" w:eastAsia="方正黑体_GBK" w:hAnsi="黑体" w:hint="eastAsia"/>
          <w:sz w:val="32"/>
          <w:szCs w:val="32"/>
        </w:rPr>
        <w:t>一、裁判推荐方式及流程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color w:val="FF0000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可在以下</w:t>
      </w:r>
      <w:r w:rsidRPr="00624D23">
        <w:rPr>
          <w:rFonts w:ascii="方正仿宋_GBK" w:eastAsia="方正仿宋_GBK" w:hAnsi="仿宋" w:hint="eastAsia"/>
          <w:b/>
          <w:color w:val="FF0000"/>
          <w:sz w:val="32"/>
          <w:szCs w:val="32"/>
        </w:rPr>
        <w:t>2种方式中任选一种</w:t>
      </w:r>
      <w:r w:rsidRPr="00624D23">
        <w:rPr>
          <w:rFonts w:ascii="方正仿宋_GBK" w:eastAsia="方正仿宋_GBK" w:hAnsi="仿宋" w:hint="eastAsia"/>
          <w:sz w:val="32"/>
          <w:szCs w:val="32"/>
        </w:rPr>
        <w:t>进行填报推荐。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3"/>
        <w:textAlignment w:val="auto"/>
        <w:rPr>
          <w:rFonts w:ascii="方正仿宋_GBK" w:eastAsia="方正仿宋_GBK" w:hAnsi="黑体" w:hint="eastAsia"/>
          <w:b/>
          <w:color w:val="FF0000"/>
          <w:sz w:val="32"/>
          <w:szCs w:val="32"/>
        </w:rPr>
      </w:pPr>
      <w:r w:rsidRPr="00624D23">
        <w:rPr>
          <w:rFonts w:ascii="方正仿宋_GBK" w:eastAsia="方正仿宋_GBK" w:hAnsi="黑体" w:hint="eastAsia"/>
          <w:b/>
          <w:color w:val="FF0000"/>
          <w:sz w:val="32"/>
          <w:szCs w:val="32"/>
        </w:rPr>
        <w:t>（注：每位裁判只能选择其中的一种方式进行推荐）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楷体_GBK" w:eastAsia="方正楷体_GBK" w:hAnsi="仿宋" w:hint="eastAsia"/>
          <w:sz w:val="32"/>
          <w:szCs w:val="32"/>
        </w:rPr>
      </w:pPr>
      <w:r w:rsidRPr="00624D23">
        <w:rPr>
          <w:rFonts w:ascii="方正楷体_GBK" w:eastAsia="方正楷体_GBK" w:hAnsi="仿宋" w:hint="eastAsia"/>
          <w:sz w:val="32"/>
          <w:szCs w:val="32"/>
        </w:rPr>
        <w:t>（一）推荐方式一：裁判本人注册填报方式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1.使用本人手机号注册“裁判申报”账号；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2.选择“裁判登录”进入平台，填写个人基本信息,选择可执裁的赛项，上传盖章推荐表，检查无误后提交；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3.已填报信息查看。</w:t>
      </w:r>
    </w:p>
    <w:p w:rsidR="00CF426C" w:rsidRPr="00624D23" w:rsidRDefault="00CF426C" w:rsidP="00CF426C">
      <w:pPr>
        <w:spacing w:line="6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624D23">
        <w:rPr>
          <w:rFonts w:ascii="方正楷体_GBK" w:eastAsia="方正楷体_GBK" w:hAnsi="宋体" w:cs="宋体" w:hint="eastAsia"/>
          <w:sz w:val="32"/>
          <w:szCs w:val="32"/>
        </w:rPr>
        <w:t>（二）推荐方式二：重庆市内职业院校推荐方式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推荐单位为重庆市内职业院校的，可由推荐院校登录本校大赛报名工作的参赛审核账号, 选择裁判推荐功能，填写推荐裁判的基本信息,选择可执裁的赛项，上传盖章推荐表，检查无误后提交。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黑体_GBK" w:eastAsia="方正黑体_GBK" w:hAnsi="黑体" w:hint="eastAsia"/>
          <w:sz w:val="32"/>
          <w:szCs w:val="32"/>
        </w:rPr>
      </w:pPr>
      <w:r w:rsidRPr="00624D23">
        <w:rPr>
          <w:rFonts w:ascii="方正黑体_GBK" w:eastAsia="方正黑体_GBK" w:hAnsi="黑体" w:hint="eastAsia"/>
          <w:sz w:val="32"/>
          <w:szCs w:val="32"/>
        </w:rPr>
        <w:t>二、系统使用注意事项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（1）操作本系统前，必须熟读操作手册。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（2）在操作本系统的过程中，</w:t>
      </w:r>
      <w:r w:rsidRPr="00624D23">
        <w:rPr>
          <w:rFonts w:ascii="方正仿宋_GBK" w:eastAsia="方正仿宋_GBK" w:hAnsi="仿宋" w:hint="eastAsia"/>
          <w:b/>
          <w:color w:val="FF0000"/>
          <w:sz w:val="32"/>
          <w:szCs w:val="32"/>
        </w:rPr>
        <w:t>请使用最新版本的谷歌浏览器（ Google Chrome ）</w:t>
      </w:r>
      <w:r w:rsidRPr="00624D23">
        <w:rPr>
          <w:rFonts w:ascii="方正仿宋_GBK" w:eastAsia="方正仿宋_GBK" w:hAnsi="仿宋" w:hint="eastAsia"/>
          <w:sz w:val="32"/>
          <w:szCs w:val="32"/>
        </w:rPr>
        <w:t>。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黑体_GBK" w:eastAsia="方正黑体_GBK" w:hAnsi="宋体" w:cs="宋体" w:hint="eastAsia"/>
          <w:sz w:val="28"/>
          <w:szCs w:val="28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br w:type="page"/>
      </w:r>
      <w:r w:rsidRPr="00624D23">
        <w:rPr>
          <w:rFonts w:ascii="方正黑体_GBK" w:eastAsia="方正黑体_GBK" w:hAnsi="黑体" w:hint="eastAsia"/>
          <w:sz w:val="32"/>
          <w:szCs w:val="32"/>
        </w:rPr>
        <w:t>三、操作细则</w:t>
      </w:r>
    </w:p>
    <w:p w:rsidR="00CF426C" w:rsidRPr="00624D23" w:rsidRDefault="00CF426C" w:rsidP="00CF426C">
      <w:pPr>
        <w:spacing w:line="600" w:lineRule="exact"/>
        <w:ind w:firstLineChars="200" w:firstLine="56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宋体" w:cs="宋体" w:hint="eastAsia"/>
          <w:sz w:val="28"/>
          <w:szCs w:val="28"/>
        </w:rPr>
        <w:t>网址：</w:t>
      </w:r>
      <w:hyperlink r:id="rId8" w:history="1">
        <w:r w:rsidRPr="00624D23">
          <w:rPr>
            <w:rStyle w:val="a6"/>
            <w:rFonts w:ascii="方正仿宋_GBK" w:eastAsia="方正仿宋_GBK" w:hAnsi="仿宋" w:hint="eastAsia"/>
            <w:sz w:val="32"/>
            <w:szCs w:val="32"/>
          </w:rPr>
          <w:t>http://125.84.158.248:8085/</w:t>
        </w:r>
      </w:hyperlink>
      <w:r w:rsidRPr="00624D23">
        <w:rPr>
          <w:rFonts w:ascii="方正仿宋_GBK" w:eastAsia="方正仿宋_GBK" w:hAnsi="仿宋" w:hint="eastAsia"/>
          <w:sz w:val="32"/>
          <w:szCs w:val="32"/>
        </w:rPr>
        <w:t>。</w:t>
      </w:r>
    </w:p>
    <w:p w:rsidR="00CF426C" w:rsidRPr="00624D23" w:rsidRDefault="00CF426C" w:rsidP="00CF426C">
      <w:pPr>
        <w:widowControl w:val="0"/>
        <w:spacing w:line="600" w:lineRule="exact"/>
        <w:ind w:firstLine="420"/>
        <w:textAlignment w:val="auto"/>
        <w:rPr>
          <w:rFonts w:ascii="方正楷体_GBK" w:eastAsia="方正楷体_GBK" w:hAnsi="宋体" w:cs="宋体" w:hint="eastAsia"/>
          <w:sz w:val="28"/>
          <w:szCs w:val="28"/>
        </w:rPr>
      </w:pPr>
      <w:r w:rsidRPr="00624D23">
        <w:rPr>
          <w:rFonts w:ascii="方正楷体_GBK" w:eastAsia="方正楷体_GBK" w:hAnsi="宋体" w:cs="宋体" w:hint="eastAsia"/>
          <w:sz w:val="28"/>
          <w:szCs w:val="28"/>
        </w:rPr>
        <w:t xml:space="preserve">（一）推荐方式一： </w:t>
      </w:r>
      <w:r w:rsidRPr="00624D23">
        <w:rPr>
          <w:rFonts w:ascii="方正楷体_GBK" w:eastAsia="方正楷体_GBK" w:hAnsi="仿宋" w:hint="eastAsia"/>
          <w:sz w:val="32"/>
          <w:szCs w:val="32"/>
        </w:rPr>
        <w:t>裁判本人注册填报方式</w:t>
      </w:r>
    </w:p>
    <w:p w:rsidR="00CF426C" w:rsidRPr="00624D23" w:rsidRDefault="00CF426C" w:rsidP="00CF426C">
      <w:pPr>
        <w:spacing w:line="60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b/>
          <w:sz w:val="32"/>
          <w:szCs w:val="32"/>
        </w:rPr>
        <w:t>1.点击注册。</w:t>
      </w:r>
      <w:r w:rsidRPr="00624D23">
        <w:rPr>
          <w:rFonts w:ascii="方正仿宋_GBK" w:eastAsia="方正仿宋_GBK" w:hAnsi="仿宋" w:hint="eastAsia"/>
          <w:sz w:val="32"/>
          <w:szCs w:val="32"/>
        </w:rPr>
        <w:t>输入注册手机号以及密码完成注册。</w:t>
      </w:r>
    </w:p>
    <w:p w:rsidR="00CF426C" w:rsidRPr="00624D23" w:rsidRDefault="00CF426C" w:rsidP="00CF426C">
      <w:pPr>
        <w:spacing w:line="600" w:lineRule="exact"/>
        <w:ind w:firstLineChars="200" w:firstLine="560"/>
        <w:rPr>
          <w:rFonts w:ascii="方正仿宋_GBK" w:eastAsia="方正仿宋_GBK" w:hAnsi="仿宋" w:hint="eastAsia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537845</wp:posOffset>
            </wp:positionV>
            <wp:extent cx="4572635" cy="230759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4324985</wp:posOffset>
            </wp:positionV>
            <wp:extent cx="4617720" cy="233045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D23">
        <w:rPr>
          <w:rFonts w:ascii="方正仿宋_GBK" w:eastAsia="方正仿宋_GBK" w:hAnsi="仿宋" w:hint="eastAsia"/>
          <w:b/>
          <w:color w:val="FF0000"/>
          <w:sz w:val="32"/>
          <w:szCs w:val="32"/>
        </w:rPr>
        <w:t>注：一个手机号只能注册一次，请保存好密码。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560"/>
        <w:rPr>
          <w:rFonts w:ascii="方正仿宋_GBK" w:eastAsia="方正仿宋_GBK" w:hAnsi="宋体" w:cs="宋体" w:hint="eastAsia"/>
          <w:sz w:val="28"/>
          <w:szCs w:val="28"/>
        </w:rPr>
      </w:pP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宋体" w:cs="宋体" w:hint="eastAsia"/>
          <w:sz w:val="28"/>
          <w:szCs w:val="28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输入注册手机号以及密码，点击获取验证码，验证码运算符号为加(+)、减(-)、乘(*)，完成后点击提交，如看不清楚，可点击验证表达式刷新。</w:t>
      </w:r>
    </w:p>
    <w:p w:rsidR="00CF426C" w:rsidRPr="00624D23" w:rsidRDefault="00CF426C" w:rsidP="00CF426C">
      <w:pPr>
        <w:widowControl w:val="0"/>
        <w:spacing w:line="600" w:lineRule="exact"/>
        <w:ind w:firstLineChars="200" w:firstLine="643"/>
        <w:textAlignment w:val="auto"/>
        <w:rPr>
          <w:rFonts w:ascii="方正仿宋_GBK" w:eastAsia="方正仿宋_GBK" w:hAnsi="仿宋" w:hint="eastAsia"/>
          <w:b/>
          <w:sz w:val="32"/>
          <w:szCs w:val="32"/>
        </w:rPr>
      </w:pPr>
      <w:r w:rsidRPr="00624D23">
        <w:rPr>
          <w:rFonts w:ascii="方正仿宋_GBK" w:eastAsia="方正仿宋_GBK" w:hAnsi="仿宋" w:hint="eastAsia"/>
          <w:b/>
          <w:sz w:val="32"/>
          <w:szCs w:val="32"/>
        </w:rPr>
        <w:t>2.裁判申报</w:t>
      </w:r>
    </w:p>
    <w:p w:rsidR="00CF426C" w:rsidRPr="00624D23" w:rsidRDefault="00CF426C" w:rsidP="00CF426C">
      <w:pPr>
        <w:spacing w:line="600" w:lineRule="exact"/>
        <w:ind w:firstLineChars="200" w:firstLine="640"/>
        <w:rPr>
          <w:rFonts w:ascii="方正仿宋_GBK" w:eastAsia="方正仿宋_GBK" w:hAnsi="微软雅黑" w:cs="微软雅黑" w:hint="eastAsia"/>
          <w:spacing w:val="-1"/>
          <w:sz w:val="24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选择“裁判登录”，输入注册完成的手机账号以及密码，点击获取验证码，验证码运算符号为加(+)、减(-)、乘(*)，完成后点击提交，如看不清楚，可点击验证表达式刷新。</w:t>
      </w:r>
    </w:p>
    <w:p w:rsidR="00CF426C" w:rsidRPr="00624D23" w:rsidRDefault="00CF426C" w:rsidP="00CF426C">
      <w:pPr>
        <w:jc w:val="center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  <w:noProof/>
        </w:rPr>
        <w:drawing>
          <wp:inline distT="0" distB="0" distL="0" distR="0">
            <wp:extent cx="5273040" cy="30022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 xml:space="preserve"> 登录系统后，点击裁判申报</w:t>
      </w:r>
    </w:p>
    <w:p w:rsidR="00CF426C" w:rsidRPr="00624D23" w:rsidRDefault="00CF426C" w:rsidP="00CF426C">
      <w:pPr>
        <w:jc w:val="center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  <w:noProof/>
        </w:rPr>
        <w:drawing>
          <wp:inline distT="0" distB="0" distL="0" distR="0">
            <wp:extent cx="5273040" cy="2453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宋体" w:cs="宋体" w:hint="eastAsia"/>
          <w:sz w:val="28"/>
          <w:szCs w:val="28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填写报名基本信息，选择可执裁赛项，填写完成后点击提交报名裁判申报按钮。注意：盖章推荐表为PDF文件</w:t>
      </w:r>
    </w:p>
    <w:p w:rsidR="00CF426C" w:rsidRPr="00624D23" w:rsidRDefault="00CF426C" w:rsidP="00CF426C">
      <w:pPr>
        <w:jc w:val="center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  <w:noProof/>
        </w:rPr>
        <w:drawing>
          <wp:inline distT="0" distB="0" distL="0" distR="0">
            <wp:extent cx="5273040" cy="477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426C" w:rsidRPr="00624D23" w:rsidRDefault="00CF426C" w:rsidP="00CF426C">
      <w:pPr>
        <w:jc w:val="center"/>
        <w:rPr>
          <w:rFonts w:ascii="方正仿宋_GBK" w:eastAsia="方正仿宋_GBK" w:hint="eastAsia"/>
        </w:rPr>
      </w:pP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560"/>
        <w:rPr>
          <w:rFonts w:ascii="方正仿宋_GBK" w:eastAsia="方正仿宋_GBK" w:hAnsi="宋体" w:cs="宋体" w:hint="eastAsia"/>
          <w:b/>
          <w:sz w:val="28"/>
          <w:szCs w:val="28"/>
        </w:rPr>
      </w:pPr>
      <w:r w:rsidRPr="00624D23">
        <w:rPr>
          <w:rFonts w:ascii="方正仿宋_GBK" w:eastAsia="方正仿宋_GBK" w:hAnsi="宋体" w:cs="宋体" w:hint="eastAsia"/>
          <w:sz w:val="28"/>
          <w:szCs w:val="28"/>
        </w:rPr>
        <w:br w:type="page"/>
      </w:r>
      <w:r w:rsidRPr="00624D23">
        <w:rPr>
          <w:rFonts w:ascii="方正仿宋_GBK" w:eastAsia="方正仿宋_GBK" w:hAnsi="宋体" w:cs="宋体" w:hint="eastAsia"/>
          <w:b/>
          <w:sz w:val="28"/>
          <w:szCs w:val="28"/>
        </w:rPr>
        <w:t>3.</w:t>
      </w:r>
      <w:r w:rsidRPr="00624D23">
        <w:rPr>
          <w:rFonts w:ascii="方正仿宋_GBK" w:eastAsia="方正仿宋_GBK" w:hAnsi="仿宋" w:hint="eastAsia"/>
          <w:b/>
          <w:sz w:val="32"/>
          <w:szCs w:val="32"/>
        </w:rPr>
        <w:t>填报信息查看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42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779780</wp:posOffset>
            </wp:positionV>
            <wp:extent cx="5271135" cy="308610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D23">
        <w:rPr>
          <w:rFonts w:ascii="方正仿宋_GBK" w:eastAsia="方正仿宋_GBK" w:hAnsi="仿宋" w:hint="eastAsia"/>
          <w:sz w:val="32"/>
          <w:szCs w:val="32"/>
        </w:rPr>
        <w:t>登陆后点击裁判申报，再点击右上角查看报名详情，下拉即可找到填报情况。</w:t>
      </w:r>
    </w:p>
    <w:p w:rsidR="00CF426C" w:rsidRPr="00624D23" w:rsidRDefault="00CF426C" w:rsidP="00CF426C">
      <w:pPr>
        <w:spacing w:beforeLines="50" w:before="156" w:afterLines="50" w:after="156" w:line="480" w:lineRule="exact"/>
        <w:rPr>
          <w:rFonts w:ascii="方正仿宋_GBK" w:eastAsia="方正仿宋_GBK" w:hAnsi="宋体" w:cs="宋体" w:hint="eastAsia"/>
          <w:sz w:val="28"/>
          <w:szCs w:val="28"/>
        </w:rPr>
      </w:pPr>
    </w:p>
    <w:p w:rsidR="00CF426C" w:rsidRPr="00624D23" w:rsidRDefault="00CF426C" w:rsidP="00CF426C">
      <w:pPr>
        <w:rPr>
          <w:rFonts w:ascii="方正仿宋_GBK" w:eastAsia="方正仿宋_GBK" w:hint="eastAsia"/>
        </w:rPr>
      </w:pPr>
    </w:p>
    <w:p w:rsidR="00CF426C" w:rsidRPr="00624D23" w:rsidRDefault="00CF426C" w:rsidP="00CF426C">
      <w:pPr>
        <w:rPr>
          <w:rFonts w:ascii="方正仿宋_GBK" w:eastAsia="方正仿宋_GBK" w:hint="eastAsia"/>
        </w:rPr>
      </w:pPr>
    </w:p>
    <w:p w:rsidR="00CF426C" w:rsidRPr="00624D23" w:rsidRDefault="00CF426C" w:rsidP="00CF426C">
      <w:pPr>
        <w:widowControl w:val="0"/>
        <w:spacing w:line="600" w:lineRule="exact"/>
        <w:ind w:firstLineChars="200" w:firstLine="640"/>
        <w:textAlignment w:val="auto"/>
        <w:rPr>
          <w:rFonts w:ascii="方正楷体_GBK" w:eastAsia="方正楷体_GBK" w:hAnsi="仿宋" w:hint="eastAsia"/>
          <w:sz w:val="32"/>
          <w:szCs w:val="32"/>
        </w:rPr>
      </w:pPr>
      <w:r w:rsidRPr="00624D23">
        <w:rPr>
          <w:rFonts w:ascii="方正楷体_GBK" w:eastAsia="方正楷体_GBK" w:hAnsi="仿宋" w:hint="eastAsia"/>
          <w:sz w:val="32"/>
          <w:szCs w:val="32"/>
        </w:rPr>
        <w:t>（二）推荐方式二：重庆市内职业院校推荐方式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推荐院校使用本校大赛报名工作的参赛审核账号登录平台，选择裁判推荐，再选择“添加裁判推荐信息”</w:t>
      </w:r>
    </w:p>
    <w:p w:rsidR="00CF426C" w:rsidRPr="00624D23" w:rsidRDefault="00CF426C" w:rsidP="00CF426C">
      <w:pPr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  <w:noProof/>
        </w:rPr>
        <w:drawing>
          <wp:inline distT="0" distB="0" distL="0" distR="0">
            <wp:extent cx="5273040" cy="2179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填写推荐裁判信息，选择可执裁赛项，上传盖章推荐表(PDF)，完成后点击保存即可。</w:t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42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73025</wp:posOffset>
            </wp:positionV>
            <wp:extent cx="4644390" cy="48393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26C" w:rsidRPr="00624D23" w:rsidRDefault="00CF426C" w:rsidP="00CF426C">
      <w:pPr>
        <w:spacing w:beforeLines="50" w:before="156" w:afterLines="50" w:after="156" w:line="4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24D23">
        <w:rPr>
          <w:rFonts w:ascii="方正仿宋_GBK" w:eastAsia="方正仿宋_GBK" w:hAnsi="仿宋" w:hint="eastAsia"/>
          <w:sz w:val="32"/>
          <w:szCs w:val="32"/>
        </w:rPr>
        <w:t>在裁判推荐列表中，可查看推荐的裁判信息。</w:t>
      </w:r>
    </w:p>
    <w:p w:rsidR="00CF426C" w:rsidRPr="00624D23" w:rsidRDefault="00CF426C" w:rsidP="00CF426C">
      <w:pPr>
        <w:rPr>
          <w:rFonts w:ascii="方正仿宋_GBK" w:eastAsia="方正仿宋_GBK" w:hint="eastAsia"/>
        </w:rPr>
      </w:pPr>
    </w:p>
    <w:p w:rsidR="00CE5F16" w:rsidRPr="00CF426C" w:rsidRDefault="00CE5F16" w:rsidP="00CE5F16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sectPr w:rsidR="00CE5F16" w:rsidRPr="00CF426C" w:rsidSect="00F06273">
      <w:footerReference w:type="even" r:id="rId17"/>
      <w:footerReference w:type="default" r:id="rId1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95" w:rsidRDefault="00A85595" w:rsidP="006C3DE2">
      <w:r>
        <w:separator/>
      </w:r>
    </w:p>
  </w:endnote>
  <w:endnote w:type="continuationSeparator" w:id="0">
    <w:p w:rsidR="00A85595" w:rsidRDefault="00A85595" w:rsidP="006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02064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06273" w:rsidRPr="00F06273" w:rsidRDefault="00F06273" w:rsidP="00F06273">
        <w:pPr>
          <w:pStyle w:val="a5"/>
          <w:rPr>
            <w:rFonts w:ascii="宋体" w:hAnsi="宋体"/>
            <w:sz w:val="28"/>
            <w:szCs w:val="28"/>
          </w:rPr>
        </w:pPr>
        <w:r w:rsidRPr="00F06273">
          <w:rPr>
            <w:rFonts w:ascii="宋体" w:hAnsi="宋体"/>
            <w:sz w:val="28"/>
            <w:szCs w:val="28"/>
          </w:rPr>
          <w:fldChar w:fldCharType="begin"/>
        </w:r>
        <w:r w:rsidRPr="00F06273">
          <w:rPr>
            <w:rFonts w:ascii="宋体" w:hAnsi="宋体"/>
            <w:sz w:val="28"/>
            <w:szCs w:val="28"/>
          </w:rPr>
          <w:instrText>PAGE   \* MERGEFORMAT</w:instrText>
        </w:r>
        <w:r w:rsidRPr="00F06273">
          <w:rPr>
            <w:rFonts w:ascii="宋体" w:hAnsi="宋体"/>
            <w:sz w:val="28"/>
            <w:szCs w:val="28"/>
          </w:rPr>
          <w:fldChar w:fldCharType="separate"/>
        </w:r>
        <w:r w:rsidRPr="00F06273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F0627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52113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06273" w:rsidRPr="00F06273" w:rsidRDefault="00F06273" w:rsidP="00F06273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F06273">
          <w:rPr>
            <w:rFonts w:ascii="宋体" w:hAnsi="宋体"/>
            <w:sz w:val="28"/>
            <w:szCs w:val="28"/>
          </w:rPr>
          <w:fldChar w:fldCharType="begin"/>
        </w:r>
        <w:r w:rsidRPr="00F06273">
          <w:rPr>
            <w:rFonts w:ascii="宋体" w:hAnsi="宋体"/>
            <w:sz w:val="28"/>
            <w:szCs w:val="28"/>
          </w:rPr>
          <w:instrText>PAGE   \* MERGEFORMAT</w:instrText>
        </w:r>
        <w:r w:rsidRPr="00F06273">
          <w:rPr>
            <w:rFonts w:ascii="宋体" w:hAnsi="宋体"/>
            <w:sz w:val="28"/>
            <w:szCs w:val="28"/>
          </w:rPr>
          <w:fldChar w:fldCharType="separate"/>
        </w:r>
        <w:r w:rsidR="00A85595" w:rsidRPr="00A8559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85595">
          <w:rPr>
            <w:rFonts w:ascii="宋体" w:hAnsi="宋体"/>
            <w:noProof/>
            <w:sz w:val="28"/>
            <w:szCs w:val="28"/>
          </w:rPr>
          <w:t xml:space="preserve"> 1 -</w:t>
        </w:r>
        <w:r w:rsidRPr="00F0627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95" w:rsidRDefault="00A85595" w:rsidP="006C3DE2">
      <w:r>
        <w:separator/>
      </w:r>
    </w:p>
  </w:footnote>
  <w:footnote w:type="continuationSeparator" w:id="0">
    <w:p w:rsidR="00A85595" w:rsidRDefault="00A85595" w:rsidP="006C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DE2"/>
    <w:rsid w:val="00016566"/>
    <w:rsid w:val="0001755B"/>
    <w:rsid w:val="00021C7E"/>
    <w:rsid w:val="000E2153"/>
    <w:rsid w:val="000E2C92"/>
    <w:rsid w:val="00147AC1"/>
    <w:rsid w:val="001D0765"/>
    <w:rsid w:val="00272505"/>
    <w:rsid w:val="002B2C5E"/>
    <w:rsid w:val="002C2351"/>
    <w:rsid w:val="002C25C0"/>
    <w:rsid w:val="00370355"/>
    <w:rsid w:val="003C0AEE"/>
    <w:rsid w:val="003F2DBC"/>
    <w:rsid w:val="0043157F"/>
    <w:rsid w:val="0043229A"/>
    <w:rsid w:val="004822D1"/>
    <w:rsid w:val="004828E7"/>
    <w:rsid w:val="00484A7D"/>
    <w:rsid w:val="004941ED"/>
    <w:rsid w:val="00506BEB"/>
    <w:rsid w:val="005300CE"/>
    <w:rsid w:val="00597669"/>
    <w:rsid w:val="005E133B"/>
    <w:rsid w:val="006844B9"/>
    <w:rsid w:val="006C3DE2"/>
    <w:rsid w:val="006D7D4D"/>
    <w:rsid w:val="006E368A"/>
    <w:rsid w:val="007154BC"/>
    <w:rsid w:val="00821E71"/>
    <w:rsid w:val="00873D26"/>
    <w:rsid w:val="0087646F"/>
    <w:rsid w:val="00877D29"/>
    <w:rsid w:val="008A3175"/>
    <w:rsid w:val="008A7648"/>
    <w:rsid w:val="00920A91"/>
    <w:rsid w:val="00972A18"/>
    <w:rsid w:val="009A40E5"/>
    <w:rsid w:val="009D43AB"/>
    <w:rsid w:val="00A83241"/>
    <w:rsid w:val="00A842E0"/>
    <w:rsid w:val="00A85595"/>
    <w:rsid w:val="00AB60D3"/>
    <w:rsid w:val="00AC466C"/>
    <w:rsid w:val="00AC4C2B"/>
    <w:rsid w:val="00B0756C"/>
    <w:rsid w:val="00B325A3"/>
    <w:rsid w:val="00B6220F"/>
    <w:rsid w:val="00B67441"/>
    <w:rsid w:val="00BA2F25"/>
    <w:rsid w:val="00BB3866"/>
    <w:rsid w:val="00BE2434"/>
    <w:rsid w:val="00C71590"/>
    <w:rsid w:val="00CE5F16"/>
    <w:rsid w:val="00CF426C"/>
    <w:rsid w:val="00DB00D7"/>
    <w:rsid w:val="00DB1FD0"/>
    <w:rsid w:val="00DE7203"/>
    <w:rsid w:val="00E55D9B"/>
    <w:rsid w:val="00E9590F"/>
    <w:rsid w:val="00EA3085"/>
    <w:rsid w:val="00EA3705"/>
    <w:rsid w:val="00ED6267"/>
    <w:rsid w:val="00F06273"/>
    <w:rsid w:val="00F35151"/>
    <w:rsid w:val="00F72BD4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6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66"/>
    <w:pPr>
      <w:ind w:firstLineChars="200" w:firstLine="420"/>
      <w:jc w:val="left"/>
      <w:textAlignment w:val="auto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C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DE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DE2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C2351"/>
    <w:rPr>
      <w:color w:val="0563C1" w:themeColor="hyperlink"/>
      <w:u w:val="single"/>
    </w:rPr>
  </w:style>
  <w:style w:type="paragraph" w:styleId="a7">
    <w:name w:val="Normal (Web)"/>
    <w:basedOn w:val="a"/>
    <w:rsid w:val="00CE5F16"/>
    <w:pPr>
      <w:widowControl w:val="0"/>
      <w:spacing w:before="100" w:beforeAutospacing="1" w:after="100" w:afterAutospacing="1"/>
      <w:jc w:val="left"/>
      <w:textAlignment w:val="auto"/>
    </w:pPr>
    <w:rPr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F42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426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983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632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432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5.84.158.248:8085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25.84.158.248:8085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920</Words>
  <Characters>5244</Characters>
  <Application>Microsoft Office Word</Application>
  <DocSecurity>0</DocSecurity>
  <Lines>43</Lines>
  <Paragraphs>12</Paragraphs>
  <ScaleCrop>false</ScaleCrop>
  <Company>微软中国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44</cp:revision>
  <cp:lastPrinted>2022-03-02T08:49:00Z</cp:lastPrinted>
  <dcterms:created xsi:type="dcterms:W3CDTF">2022-01-10T03:46:00Z</dcterms:created>
  <dcterms:modified xsi:type="dcterms:W3CDTF">2022-03-02T08:52:00Z</dcterms:modified>
</cp:coreProperties>
</file>