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1531" w:rsidRDefault="00E61E69">
      <w:pPr>
        <w:snapToGrid w:val="0"/>
        <w:spacing w:line="360" w:lineRule="auto"/>
        <w:jc w:val="center"/>
        <w:rPr>
          <w:rFonts w:ascii="Times New Roman" w:eastAsia="黑体" w:hAnsi="Times New Roman" w:cs="Times New Roman"/>
          <w:b/>
          <w:sz w:val="36"/>
          <w:szCs w:val="36"/>
        </w:rPr>
      </w:pPr>
      <w:bookmarkStart w:id="0" w:name="_Toc490723146"/>
      <w:bookmarkStart w:id="1" w:name="_Toc490572044"/>
      <w:r>
        <w:rPr>
          <w:rFonts w:ascii="Times New Roman" w:eastAsia="黑体" w:hAnsi="Times New Roman" w:cs="Times New Roman" w:hint="eastAsia"/>
          <w:b/>
          <w:sz w:val="36"/>
          <w:szCs w:val="36"/>
        </w:rPr>
        <w:t>“巴渝工匠杯”</w:t>
      </w:r>
      <w:r>
        <w:rPr>
          <w:rFonts w:ascii="Times New Roman" w:eastAsia="黑体" w:hAnsi="Times New Roman" w:cs="Times New Roman" w:hint="eastAsia"/>
          <w:b/>
          <w:sz w:val="36"/>
          <w:szCs w:val="36"/>
        </w:rPr>
        <w:t>2022</w:t>
      </w:r>
      <w:r>
        <w:rPr>
          <w:rFonts w:ascii="Times New Roman" w:eastAsia="黑体" w:hAnsi="Times New Roman" w:cs="Times New Roman" w:hint="eastAsia"/>
          <w:b/>
          <w:sz w:val="36"/>
          <w:szCs w:val="36"/>
        </w:rPr>
        <w:t>年重庆市职业院校技能大赛</w:t>
      </w:r>
    </w:p>
    <w:p w:rsidR="00521531" w:rsidRDefault="00E61E69">
      <w:pPr>
        <w:snapToGrid w:val="0"/>
        <w:spacing w:line="360" w:lineRule="auto"/>
        <w:jc w:val="center"/>
        <w:rPr>
          <w:rFonts w:ascii="Times New Roman" w:eastAsia="黑体" w:hAnsi="Times New Roman" w:cs="Times New Roman"/>
          <w:b/>
          <w:sz w:val="36"/>
          <w:szCs w:val="36"/>
        </w:rPr>
      </w:pPr>
      <w:r>
        <w:rPr>
          <w:rFonts w:ascii="Times New Roman" w:eastAsia="黑体" w:hAnsi="Times New Roman" w:cs="Times New Roman" w:hint="eastAsia"/>
          <w:b/>
          <w:sz w:val="36"/>
          <w:szCs w:val="36"/>
        </w:rPr>
        <w:t>赛项规程</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2" w:name="_Toc504482528"/>
      <w:bookmarkEnd w:id="0"/>
      <w:bookmarkEnd w:id="1"/>
      <w:r w:rsidRPr="004B6822">
        <w:rPr>
          <w:rFonts w:ascii="黑体" w:eastAsia="黑体" w:hAnsi="黑体" w:cs="Times New Roman" w:hint="eastAsia"/>
          <w:b/>
          <w:sz w:val="30"/>
          <w:szCs w:val="30"/>
        </w:rPr>
        <w:t>一、赛项名称</w:t>
      </w:r>
      <w:bookmarkEnd w:id="2"/>
    </w:p>
    <w:p w:rsidR="00521531" w:rsidRDefault="00E61E69">
      <w:pPr>
        <w:spacing w:line="360" w:lineRule="auto"/>
        <w:ind w:firstLineChars="200" w:firstLine="560"/>
        <w:rPr>
          <w:rFonts w:ascii="Times New Roman" w:eastAsia="仿宋_GB2312" w:hAnsi="Times New Roman"/>
          <w:sz w:val="28"/>
          <w:szCs w:val="28"/>
        </w:rPr>
      </w:pPr>
      <w:r>
        <w:rPr>
          <w:rFonts w:ascii="Times New Roman" w:eastAsia="仿宋_GB2312" w:hAnsi="Times New Roman" w:hint="eastAsia"/>
          <w:sz w:val="28"/>
          <w:szCs w:val="28"/>
        </w:rPr>
        <w:t>赛项编号：</w:t>
      </w:r>
      <w:r>
        <w:rPr>
          <w:rFonts w:ascii="Times New Roman" w:eastAsia="仿宋_GB2312" w:hAnsi="Times New Roman"/>
          <w:sz w:val="28"/>
          <w:szCs w:val="28"/>
        </w:rPr>
        <w:t>CQGZ-202201</w:t>
      </w:r>
      <w:r w:rsidR="00D54E40">
        <w:rPr>
          <w:rFonts w:ascii="Times New Roman" w:eastAsia="仿宋_GB2312" w:hAnsi="Times New Roman"/>
          <w:sz w:val="28"/>
          <w:szCs w:val="28"/>
        </w:rPr>
        <w:t>8</w:t>
      </w:r>
      <w:bookmarkStart w:id="3" w:name="_GoBack"/>
      <w:bookmarkEnd w:id="3"/>
    </w:p>
    <w:p w:rsidR="00521531" w:rsidRDefault="00E61E69">
      <w:pPr>
        <w:spacing w:line="360" w:lineRule="auto"/>
        <w:ind w:firstLineChars="200" w:firstLine="560"/>
        <w:rPr>
          <w:rFonts w:ascii="仿宋" w:eastAsia="仿宋" w:hAnsi="仿宋" w:cs="仿宋"/>
          <w:sz w:val="28"/>
          <w:szCs w:val="28"/>
        </w:rPr>
      </w:pPr>
      <w:r>
        <w:rPr>
          <w:rFonts w:ascii="Times New Roman" w:eastAsia="仿宋_GB2312" w:hAnsi="Times New Roman" w:hint="eastAsia"/>
          <w:sz w:val="28"/>
          <w:szCs w:val="28"/>
        </w:rPr>
        <w:t>赛项名称：工业机器人技术应用</w:t>
      </w:r>
    </w:p>
    <w:p w:rsidR="00521531" w:rsidRDefault="00E61E69">
      <w:pPr>
        <w:spacing w:line="360" w:lineRule="auto"/>
        <w:ind w:firstLineChars="200" w:firstLine="560"/>
        <w:rPr>
          <w:rFonts w:ascii="仿宋" w:eastAsia="仿宋_GB2312" w:hAnsi="仿宋" w:cs="仿宋"/>
          <w:sz w:val="28"/>
          <w:szCs w:val="28"/>
        </w:rPr>
      </w:pPr>
      <w:r>
        <w:rPr>
          <w:rFonts w:ascii="Times New Roman" w:eastAsia="仿宋_GB2312" w:hAnsi="Times New Roman" w:hint="eastAsia"/>
          <w:sz w:val="28"/>
          <w:szCs w:val="28"/>
        </w:rPr>
        <w:t>赛项组别：高职组</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4" w:name="_Toc504482529"/>
      <w:r w:rsidRPr="004B6822">
        <w:rPr>
          <w:rFonts w:ascii="黑体" w:eastAsia="黑体" w:hAnsi="黑体" w:cs="Times New Roman" w:hint="eastAsia"/>
          <w:b/>
          <w:sz w:val="30"/>
          <w:szCs w:val="30"/>
        </w:rPr>
        <w:t>二、竞赛目的</w:t>
      </w:r>
      <w:bookmarkEnd w:id="4"/>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赛项的举办将促进工业机器人制造、系统集成和应用等企业急需的工业机器人操作、编程、工作站安装调试、系统集成以及现场维护等岗位技术技能型人才的培养，提高参赛队组织管理、团队协作、工作效率、质量与成本控制及安全意识等职业素养，践行李克强总理在全国职教会上提出的“中国制造业大国向精密制造业强国的转变”的要求。</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赛项同时引导高等职业院校关注“工业机器人技术应用”方面的发展趋势及新技术的应用，促进和引导工业机器人相关专业建设；促进工学结合人才培养模式和课程教学的改革与创新，展示学生工业机器人及系统应用的综合能力；提升高等职业院校教师的工业机器人技术应用水平，以赛促教，为工业机器人及系统在企业中的应用提供人才保障。</w:t>
      </w:r>
    </w:p>
    <w:p w:rsidR="00521531" w:rsidRDefault="00E61E69">
      <w:pPr>
        <w:spacing w:line="360" w:lineRule="auto"/>
        <w:ind w:firstLineChars="200" w:firstLine="560"/>
        <w:rPr>
          <w:rFonts w:ascii="仿宋" w:eastAsia="仿宋" w:hAnsi="仿宋" w:cs="仿宋"/>
          <w:b/>
          <w:bCs/>
          <w:sz w:val="28"/>
          <w:szCs w:val="28"/>
        </w:rPr>
      </w:pPr>
      <w:r>
        <w:rPr>
          <w:rFonts w:ascii="仿宋" w:eastAsia="仿宋" w:hAnsi="仿宋" w:cs="仿宋" w:hint="eastAsia"/>
          <w:sz w:val="28"/>
          <w:szCs w:val="28"/>
        </w:rPr>
        <w:t>赛项以“</w:t>
      </w:r>
      <w:r w:rsidR="004B6822">
        <w:rPr>
          <w:rFonts w:ascii="仿宋" w:eastAsia="仿宋" w:hAnsi="仿宋" w:cs="仿宋" w:hint="eastAsia"/>
          <w:sz w:val="28"/>
          <w:szCs w:val="28"/>
        </w:rPr>
        <w:t>中国</w:t>
      </w:r>
      <w:r>
        <w:rPr>
          <w:rFonts w:ascii="仿宋" w:eastAsia="仿宋" w:hAnsi="仿宋" w:cs="仿宋" w:hint="eastAsia"/>
          <w:sz w:val="28"/>
          <w:szCs w:val="28"/>
        </w:rPr>
        <w:t>制造2025”规划为背景，针对装备制造业转型升级对岗位技能提升的要求，面向全国高等职业院校工业机器人技术、机电一体化技术和电气自动化技术等专业，通过技能竞赛促进高等职</w:t>
      </w:r>
      <w:r>
        <w:rPr>
          <w:rFonts w:ascii="仿宋" w:eastAsia="仿宋" w:hAnsi="仿宋" w:cs="仿宋" w:hint="eastAsia"/>
          <w:sz w:val="28"/>
          <w:szCs w:val="28"/>
        </w:rPr>
        <w:lastRenderedPageBreak/>
        <w:t>业院校工业机器人技术应用相关专业的发展、课程的建设、人才的培养质量，解决工业机器人产业迅猛增长与专业人才严重短缺的矛盾，提升工业机器人系统技术应用人才水平和数量，实现人才的到岗即用。同时，通过职业教育和技能竞赛助力“中国智造2025”。</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5" w:name="_Toc460654211"/>
      <w:bookmarkStart w:id="6" w:name="_Toc504482530"/>
      <w:r w:rsidRPr="004B6822">
        <w:rPr>
          <w:rFonts w:ascii="黑体" w:eastAsia="黑体" w:hAnsi="黑体" w:cs="Times New Roman" w:hint="eastAsia"/>
          <w:b/>
          <w:sz w:val="30"/>
          <w:szCs w:val="30"/>
        </w:rPr>
        <w:t>三、竞赛</w:t>
      </w:r>
      <w:bookmarkEnd w:id="5"/>
      <w:r w:rsidRPr="004B6822">
        <w:rPr>
          <w:rFonts w:ascii="黑体" w:eastAsia="黑体" w:hAnsi="黑体" w:cs="Times New Roman" w:hint="eastAsia"/>
          <w:b/>
          <w:sz w:val="30"/>
          <w:szCs w:val="30"/>
        </w:rPr>
        <w:t>时间与内容</w:t>
      </w:r>
      <w:bookmarkEnd w:id="6"/>
    </w:p>
    <w:p w:rsidR="00521531" w:rsidRDefault="00E61E69">
      <w:pPr>
        <w:spacing w:line="560" w:lineRule="exact"/>
        <w:ind w:firstLineChars="200" w:firstLine="560"/>
        <w:rPr>
          <w:rFonts w:ascii="仿宋" w:eastAsia="仿宋" w:hAnsi="仿宋" w:cs="仿宋"/>
          <w:sz w:val="28"/>
          <w:szCs w:val="28"/>
        </w:rPr>
      </w:pPr>
      <w:bookmarkStart w:id="7" w:name="_Toc460654212"/>
      <w:r>
        <w:rPr>
          <w:rFonts w:ascii="仿宋" w:eastAsia="仿宋" w:hAnsi="仿宋" w:cs="仿宋" w:hint="eastAsia"/>
          <w:sz w:val="28"/>
          <w:szCs w:val="28"/>
        </w:rPr>
        <w:t>（一）竞赛时间</w:t>
      </w:r>
      <w:bookmarkEnd w:id="7"/>
    </w:p>
    <w:p w:rsidR="00521531" w:rsidRDefault="00E61E69">
      <w:pPr>
        <w:spacing w:line="560" w:lineRule="exact"/>
        <w:ind w:firstLineChars="200" w:firstLine="560"/>
        <w:rPr>
          <w:rFonts w:ascii="仿宋" w:eastAsia="仿宋" w:hAnsi="仿宋" w:cs="仿宋"/>
          <w:sz w:val="28"/>
          <w:szCs w:val="28"/>
          <w:highlight w:val="yellow"/>
        </w:rPr>
      </w:pPr>
      <w:r>
        <w:rPr>
          <w:rFonts w:ascii="仿宋" w:eastAsia="仿宋" w:hAnsi="仿宋" w:cs="仿宋" w:hint="eastAsia"/>
          <w:sz w:val="28"/>
          <w:szCs w:val="30"/>
        </w:rPr>
        <w:t>本次赛项拟定于202</w:t>
      </w:r>
      <w:r>
        <w:rPr>
          <w:rFonts w:ascii="仿宋" w:eastAsia="仿宋" w:hAnsi="仿宋" w:cs="仿宋"/>
          <w:sz w:val="28"/>
          <w:szCs w:val="30"/>
        </w:rPr>
        <w:t>2</w:t>
      </w:r>
      <w:r>
        <w:rPr>
          <w:rFonts w:ascii="仿宋" w:eastAsia="仿宋" w:hAnsi="仿宋" w:cs="仿宋" w:hint="eastAsia"/>
          <w:sz w:val="28"/>
          <w:szCs w:val="30"/>
        </w:rPr>
        <w:t>年4月8-11日在重庆科创职业学院举行。</w:t>
      </w:r>
    </w:p>
    <w:p w:rsidR="00521531" w:rsidRDefault="00E61E69">
      <w:pPr>
        <w:numPr>
          <w:ilvl w:val="0"/>
          <w:numId w:val="1"/>
        </w:numPr>
        <w:spacing w:line="560" w:lineRule="exact"/>
        <w:ind w:firstLineChars="200" w:firstLine="560"/>
        <w:rPr>
          <w:rFonts w:ascii="仿宋" w:eastAsia="仿宋" w:hAnsi="仿宋" w:cs="仿宋"/>
          <w:sz w:val="28"/>
          <w:szCs w:val="28"/>
        </w:rPr>
      </w:pPr>
      <w:r>
        <w:rPr>
          <w:rFonts w:ascii="仿宋" w:eastAsia="仿宋" w:hAnsi="仿宋" w:cs="仿宋" w:hint="eastAsia"/>
          <w:sz w:val="28"/>
          <w:szCs w:val="28"/>
        </w:rPr>
        <w:t>竞赛内容</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1.按任务要求完成对比赛系统的机器人相关设备进行机械和电气安装，使其能够组成工业机器人智能工作站系统。</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2.按任务要求完成智能视觉系统的流程编辑，实现工件流水线上的工件位置检测和工件形状种类的识别。</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3.按任务要求完成工业机器人参数设定、标定及与PLC通信链路的建立及测试。</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4.按任务要求完成机器人相关基本模块单元的测试用的人机界面、通讯以及底层控制程序的编制。</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5.对竞赛设备进行整体操作、编程和调试，达到任务书规定综合任务（包括机械零件检验、分拣、装配、转运等）的工作要求和技术要求。</w:t>
      </w:r>
    </w:p>
    <w:p w:rsidR="00521531" w:rsidRDefault="00521531">
      <w:pPr>
        <w:ind w:firstLineChars="200" w:firstLine="560"/>
        <w:jc w:val="left"/>
        <w:rPr>
          <w:rFonts w:ascii="仿宋" w:eastAsia="仿宋" w:hAnsi="仿宋" w:cs="仿宋"/>
          <w:sz w:val="28"/>
          <w:szCs w:val="30"/>
        </w:rPr>
      </w:pPr>
    </w:p>
    <w:p w:rsidR="00521531" w:rsidRDefault="00521531">
      <w:pPr>
        <w:ind w:firstLineChars="200" w:firstLine="560"/>
        <w:jc w:val="left"/>
        <w:rPr>
          <w:rFonts w:ascii="仿宋" w:eastAsia="仿宋" w:hAnsi="仿宋" w:cs="仿宋"/>
          <w:sz w:val="28"/>
          <w:szCs w:val="30"/>
        </w:rPr>
      </w:pPr>
    </w:p>
    <w:p w:rsidR="00521531" w:rsidRDefault="00521531">
      <w:pPr>
        <w:ind w:firstLineChars="200" w:firstLine="560"/>
        <w:jc w:val="left"/>
        <w:rPr>
          <w:rFonts w:ascii="仿宋" w:eastAsia="仿宋" w:hAnsi="仿宋" w:cs="仿宋"/>
          <w:sz w:val="28"/>
          <w:szCs w:val="30"/>
        </w:rPr>
      </w:pP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8" w:name="_Toc504482531"/>
      <w:bookmarkStart w:id="9" w:name="_Toc460654210"/>
      <w:r w:rsidRPr="004B6822">
        <w:rPr>
          <w:rFonts w:ascii="黑体" w:eastAsia="黑体" w:hAnsi="黑体" w:cs="Times New Roman" w:hint="eastAsia"/>
          <w:b/>
          <w:sz w:val="30"/>
          <w:szCs w:val="30"/>
        </w:rPr>
        <w:lastRenderedPageBreak/>
        <w:t>四、竞赛方式</w:t>
      </w:r>
      <w:bookmarkEnd w:id="8"/>
      <w:bookmarkEnd w:id="9"/>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（一）比赛以团队方式进行，以院校为单位组队，不得跨校组队，每校最多报2支参赛队，每支参赛队由2名选手参赛，须为同校在籍学生, 性别和年级不限，设队长1名，每队可配1-2名指导教师。</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（二）竞赛由赛项执委会按照竞赛流程组织各领队参加公开抽签，确定各队参赛场次。参赛队按照抽签确定的参赛时段分批次进入比赛场地参赛。</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三）赛场的赛位统一编制赛位号，参赛队比赛前30分钟到赛项指定地点接受检录，进场前10分钟抽签决定赛位号，抽签结束后，随即按照抽取的赛位号进场，然后在对应的赛位上完成竞赛规定的赛项任务。赛位号由参赛选手抽取，抽取赛位号的步骤：</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1.抽签由赛场抽签裁判主持；</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2.参赛选手随机抽取赛位号，并在赛位记录单上签名确认；</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3.赛位号不对外公布，抽签结果由赛项办公室密封后统一保管，在评分结束后开封统计成绩。</w:t>
      </w:r>
    </w:p>
    <w:p w:rsidR="00521531" w:rsidRPr="004B6822" w:rsidRDefault="00E61E69">
      <w:pPr>
        <w:spacing w:line="360" w:lineRule="auto"/>
        <w:ind w:firstLineChars="200" w:firstLine="602"/>
        <w:outlineLvl w:val="0"/>
        <w:rPr>
          <w:rFonts w:ascii="黑体" w:eastAsia="黑体" w:hAnsi="黑体" w:cs="Times New Roman"/>
          <w:b/>
          <w:sz w:val="30"/>
          <w:szCs w:val="30"/>
        </w:rPr>
      </w:pPr>
      <w:r w:rsidRPr="004B6822">
        <w:rPr>
          <w:rFonts w:ascii="黑体" w:eastAsia="黑体" w:hAnsi="黑体" w:cs="Times New Roman" w:hint="eastAsia"/>
          <w:b/>
          <w:sz w:val="30"/>
          <w:szCs w:val="30"/>
        </w:rPr>
        <w:t>五、竞赛流程</w:t>
      </w:r>
    </w:p>
    <w:p w:rsidR="00521531" w:rsidRDefault="00E61E69">
      <w:pPr>
        <w:ind w:firstLineChars="200" w:firstLine="560"/>
        <w:jc w:val="left"/>
        <w:rPr>
          <w:rFonts w:ascii="仿宋" w:eastAsia="仿宋" w:hAnsi="仿宋" w:cs="仿宋"/>
          <w:sz w:val="28"/>
          <w:szCs w:val="28"/>
        </w:rPr>
      </w:pPr>
      <w:r>
        <w:rPr>
          <w:rFonts w:ascii="仿宋" w:eastAsia="仿宋" w:hAnsi="仿宋" w:cs="仿宋" w:hint="eastAsia"/>
          <w:sz w:val="28"/>
          <w:szCs w:val="28"/>
        </w:rPr>
        <w:t>具体的竞赛日期，由“巴渝工匠杯”2022重庆市职业院校技能大赛组委会统一规定，本赛项竞赛4天，选手第一天上午报到，下午召开赛前说明会和场次抽签活动、并安排选手熟悉赛场； 第二、三天根据参赛队数量分场次进行正式比赛。第四天举行闭幕式。（如果报名队伍较多，可追加一天比赛，闭幕式后延），竞赛日程见下表。</w:t>
      </w:r>
    </w:p>
    <w:p w:rsidR="00521531" w:rsidRDefault="00521531">
      <w:pPr>
        <w:ind w:firstLineChars="200" w:firstLine="560"/>
        <w:jc w:val="left"/>
        <w:rPr>
          <w:rFonts w:ascii="仿宋" w:eastAsia="仿宋" w:hAnsi="仿宋" w:cs="仿宋"/>
          <w:sz w:val="28"/>
          <w:szCs w:val="28"/>
        </w:rPr>
      </w:pPr>
    </w:p>
    <w:tbl>
      <w:tblPr>
        <w:tblStyle w:val="TableNormal"/>
        <w:tblW w:w="886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9"/>
        <w:gridCol w:w="2382"/>
        <w:gridCol w:w="5091"/>
      </w:tblGrid>
      <w:tr w:rsidR="00521531">
        <w:trPr>
          <w:trHeight w:val="567"/>
          <w:jc w:val="center"/>
        </w:trPr>
        <w:tc>
          <w:tcPr>
            <w:tcW w:w="1389" w:type="dxa"/>
            <w:vAlign w:val="center"/>
          </w:tcPr>
          <w:p w:rsidR="00521531" w:rsidRDefault="00E61E69">
            <w:pPr>
              <w:spacing w:before="176" w:line="190" w:lineRule="auto"/>
              <w:ind w:firstLineChars="100" w:firstLine="281"/>
              <w:rPr>
                <w:rFonts w:ascii="仿宋" w:eastAsia="仿宋" w:hAnsi="仿宋" w:cs="仿宋"/>
                <w:b/>
                <w:bCs/>
                <w:sz w:val="28"/>
                <w:szCs w:val="28"/>
              </w:rPr>
            </w:pPr>
            <w:r>
              <w:rPr>
                <w:rFonts w:ascii="仿宋" w:eastAsia="仿宋" w:hAnsi="仿宋" w:cs="仿宋" w:hint="eastAsia"/>
                <w:b/>
                <w:bCs/>
                <w:sz w:val="28"/>
                <w:szCs w:val="28"/>
              </w:rPr>
              <w:lastRenderedPageBreak/>
              <w:t>日 期</w:t>
            </w:r>
          </w:p>
        </w:tc>
        <w:tc>
          <w:tcPr>
            <w:tcW w:w="2382" w:type="dxa"/>
            <w:vAlign w:val="center"/>
          </w:tcPr>
          <w:p w:rsidR="00521531" w:rsidRDefault="00E61E69">
            <w:pPr>
              <w:spacing w:before="176" w:line="190" w:lineRule="auto"/>
              <w:ind w:firstLine="699"/>
              <w:jc w:val="center"/>
              <w:rPr>
                <w:rFonts w:ascii="仿宋" w:eastAsia="仿宋" w:hAnsi="仿宋" w:cs="仿宋"/>
                <w:b/>
                <w:bCs/>
                <w:sz w:val="28"/>
                <w:szCs w:val="28"/>
              </w:rPr>
            </w:pPr>
            <w:r>
              <w:rPr>
                <w:rFonts w:ascii="仿宋" w:eastAsia="仿宋" w:hAnsi="仿宋" w:cs="仿宋"/>
                <w:b/>
                <w:bCs/>
                <w:spacing w:val="-19"/>
                <w:sz w:val="28"/>
                <w:szCs w:val="28"/>
              </w:rPr>
              <w:t>时</w:t>
            </w:r>
            <w:r>
              <w:rPr>
                <w:rFonts w:ascii="仿宋" w:eastAsia="仿宋" w:hAnsi="仿宋" w:cs="仿宋"/>
                <w:b/>
                <w:bCs/>
                <w:spacing w:val="21"/>
                <w:sz w:val="28"/>
                <w:szCs w:val="28"/>
              </w:rPr>
              <w:t xml:space="preserve">  </w:t>
            </w:r>
            <w:r>
              <w:rPr>
                <w:rFonts w:ascii="仿宋" w:eastAsia="仿宋" w:hAnsi="仿宋" w:cs="仿宋"/>
                <w:b/>
                <w:bCs/>
                <w:spacing w:val="-19"/>
                <w:sz w:val="28"/>
                <w:szCs w:val="28"/>
              </w:rPr>
              <w:t>间</w:t>
            </w:r>
          </w:p>
        </w:tc>
        <w:tc>
          <w:tcPr>
            <w:tcW w:w="5091" w:type="dxa"/>
            <w:vAlign w:val="center"/>
          </w:tcPr>
          <w:p w:rsidR="00521531" w:rsidRDefault="00E61E69">
            <w:pPr>
              <w:spacing w:before="176" w:line="190" w:lineRule="auto"/>
              <w:jc w:val="center"/>
              <w:rPr>
                <w:rFonts w:ascii="仿宋" w:eastAsia="仿宋" w:hAnsi="仿宋" w:cs="仿宋"/>
                <w:b/>
                <w:bCs/>
                <w:sz w:val="28"/>
                <w:szCs w:val="28"/>
              </w:rPr>
            </w:pPr>
            <w:r>
              <w:rPr>
                <w:rFonts w:ascii="仿宋" w:eastAsia="仿宋" w:hAnsi="仿宋" w:cs="仿宋"/>
                <w:b/>
                <w:bCs/>
                <w:spacing w:val="-26"/>
                <w:sz w:val="28"/>
                <w:szCs w:val="28"/>
              </w:rPr>
              <w:t>内</w:t>
            </w:r>
            <w:r>
              <w:rPr>
                <w:rFonts w:ascii="仿宋" w:eastAsia="仿宋" w:hAnsi="仿宋" w:cs="仿宋"/>
                <w:b/>
                <w:bCs/>
                <w:spacing w:val="5"/>
                <w:sz w:val="28"/>
                <w:szCs w:val="28"/>
              </w:rPr>
              <w:t xml:space="preserve">    </w:t>
            </w:r>
            <w:r>
              <w:rPr>
                <w:rFonts w:ascii="仿宋" w:eastAsia="仿宋" w:hAnsi="仿宋" w:cs="仿宋"/>
                <w:b/>
                <w:bCs/>
                <w:spacing w:val="-26"/>
                <w:sz w:val="28"/>
                <w:szCs w:val="28"/>
              </w:rPr>
              <w:t>容</w:t>
            </w:r>
          </w:p>
        </w:tc>
      </w:tr>
      <w:tr w:rsidR="00521531">
        <w:trPr>
          <w:trHeight w:val="567"/>
          <w:jc w:val="center"/>
        </w:trPr>
        <w:tc>
          <w:tcPr>
            <w:tcW w:w="1389" w:type="dxa"/>
            <w:vMerge w:val="restart"/>
            <w:tcBorders>
              <w:bottom w:val="nil"/>
            </w:tcBorders>
            <w:vAlign w:val="center"/>
          </w:tcPr>
          <w:p w:rsidR="00521531" w:rsidRDefault="00E61E69">
            <w:pPr>
              <w:spacing w:before="92" w:line="190" w:lineRule="auto"/>
              <w:ind w:firstLine="136"/>
              <w:jc w:val="center"/>
              <w:rPr>
                <w:rFonts w:ascii="仿宋" w:eastAsia="仿宋" w:hAnsi="仿宋" w:cs="仿宋"/>
                <w:sz w:val="28"/>
                <w:szCs w:val="28"/>
              </w:rPr>
            </w:pPr>
            <w:r>
              <w:rPr>
                <w:rFonts w:ascii="仿宋" w:eastAsia="仿宋" w:hAnsi="仿宋" w:cs="仿宋"/>
                <w:spacing w:val="-10"/>
                <w:sz w:val="28"/>
                <w:szCs w:val="28"/>
              </w:rPr>
              <w:t>第一天</w:t>
            </w: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9：30</w:t>
            </w:r>
            <w:r>
              <w:rPr>
                <w:rFonts w:ascii="仿宋" w:eastAsia="仿宋" w:hAnsi="仿宋" w:cs="仿宋"/>
                <w:spacing w:val="-11"/>
                <w:w w:val="80"/>
                <w:sz w:val="28"/>
                <w:szCs w:val="28"/>
              </w:rPr>
              <w:t>—12：00</w:t>
            </w:r>
          </w:p>
        </w:tc>
        <w:tc>
          <w:tcPr>
            <w:tcW w:w="5091" w:type="dxa"/>
            <w:vAlign w:val="center"/>
          </w:tcPr>
          <w:p w:rsidR="00521531" w:rsidRDefault="00E61E69">
            <w:pPr>
              <w:spacing w:before="168" w:line="190" w:lineRule="auto"/>
              <w:jc w:val="center"/>
              <w:rPr>
                <w:rFonts w:ascii="仿宋" w:eastAsia="仿宋" w:hAnsi="仿宋" w:cs="仿宋"/>
                <w:sz w:val="28"/>
                <w:szCs w:val="28"/>
              </w:rPr>
            </w:pPr>
            <w:r>
              <w:rPr>
                <w:rFonts w:ascii="仿宋" w:eastAsia="仿宋" w:hAnsi="仿宋" w:cs="仿宋"/>
                <w:spacing w:val="-4"/>
                <w:sz w:val="28"/>
                <w:szCs w:val="28"/>
              </w:rPr>
              <w:t>参赛队报到</w:t>
            </w:r>
          </w:p>
        </w:tc>
      </w:tr>
      <w:tr w:rsidR="00521531">
        <w:trPr>
          <w:trHeight w:val="567"/>
          <w:jc w:val="center"/>
        </w:trPr>
        <w:tc>
          <w:tcPr>
            <w:tcW w:w="1389" w:type="dxa"/>
            <w:vMerge/>
            <w:tcBorders>
              <w:top w:val="nil"/>
              <w:bottom w:val="nil"/>
            </w:tcBorders>
            <w:vAlign w:val="center"/>
          </w:tcPr>
          <w:p w:rsidR="00521531" w:rsidRDefault="00521531">
            <w:pPr>
              <w:jc w:val="center"/>
              <w:rPr>
                <w:rFonts w:ascii="黑体"/>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spacing w:val="-11"/>
                <w:w w:val="80"/>
                <w:sz w:val="28"/>
                <w:szCs w:val="28"/>
              </w:rPr>
              <w:t>15：00—</w:t>
            </w:r>
            <w:r>
              <w:rPr>
                <w:rFonts w:ascii="仿宋" w:eastAsia="仿宋" w:hAnsi="仿宋" w:cs="仿宋" w:hint="eastAsia"/>
                <w:spacing w:val="-11"/>
                <w:w w:val="80"/>
                <w:sz w:val="28"/>
                <w:szCs w:val="28"/>
              </w:rPr>
              <w:t>16：00</w:t>
            </w:r>
          </w:p>
        </w:tc>
        <w:tc>
          <w:tcPr>
            <w:tcW w:w="5091" w:type="dxa"/>
            <w:vAlign w:val="center"/>
          </w:tcPr>
          <w:p w:rsidR="00521531" w:rsidRDefault="00E61E69">
            <w:pPr>
              <w:spacing w:before="172" w:line="190" w:lineRule="auto"/>
              <w:ind w:firstLine="121"/>
              <w:jc w:val="center"/>
              <w:rPr>
                <w:rFonts w:ascii="仿宋" w:eastAsia="仿宋" w:hAnsi="仿宋" w:cs="仿宋"/>
                <w:sz w:val="28"/>
                <w:szCs w:val="28"/>
              </w:rPr>
            </w:pPr>
            <w:r>
              <w:rPr>
                <w:rFonts w:ascii="仿宋" w:eastAsia="仿宋" w:hAnsi="仿宋" w:cs="仿宋"/>
                <w:spacing w:val="-2"/>
                <w:sz w:val="28"/>
                <w:szCs w:val="28"/>
              </w:rPr>
              <w:t>赛前说明会、领队会、场次抽签</w:t>
            </w:r>
          </w:p>
        </w:tc>
      </w:tr>
      <w:tr w:rsidR="00521531">
        <w:trPr>
          <w:trHeight w:val="567"/>
          <w:jc w:val="center"/>
        </w:trPr>
        <w:tc>
          <w:tcPr>
            <w:tcW w:w="1389" w:type="dxa"/>
            <w:vMerge/>
            <w:tcBorders>
              <w:top w:val="nil"/>
            </w:tcBorders>
            <w:vAlign w:val="center"/>
          </w:tcPr>
          <w:p w:rsidR="00521531" w:rsidRDefault="00521531">
            <w:pPr>
              <w:jc w:val="center"/>
              <w:rPr>
                <w:rFonts w:ascii="黑体"/>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spacing w:val="-11"/>
                <w:w w:val="80"/>
                <w:sz w:val="28"/>
                <w:szCs w:val="28"/>
              </w:rPr>
              <w:t>16：00—</w:t>
            </w:r>
            <w:r>
              <w:rPr>
                <w:rFonts w:ascii="仿宋" w:eastAsia="仿宋" w:hAnsi="仿宋" w:cs="仿宋" w:hint="eastAsia"/>
                <w:spacing w:val="-11"/>
                <w:w w:val="80"/>
                <w:sz w:val="28"/>
                <w:szCs w:val="28"/>
              </w:rPr>
              <w:t>16：30</w:t>
            </w:r>
          </w:p>
        </w:tc>
        <w:tc>
          <w:tcPr>
            <w:tcW w:w="5091" w:type="dxa"/>
            <w:vAlign w:val="center"/>
          </w:tcPr>
          <w:p w:rsidR="00521531" w:rsidRDefault="00E61E69">
            <w:pPr>
              <w:spacing w:before="172" w:line="190" w:lineRule="auto"/>
              <w:jc w:val="center"/>
              <w:rPr>
                <w:rFonts w:ascii="仿宋" w:eastAsia="仿宋" w:hAnsi="仿宋" w:cs="仿宋"/>
                <w:sz w:val="28"/>
                <w:szCs w:val="28"/>
              </w:rPr>
            </w:pPr>
            <w:r>
              <w:rPr>
                <w:rFonts w:ascii="仿宋" w:eastAsia="仿宋" w:hAnsi="仿宋" w:cs="仿宋"/>
                <w:spacing w:val="-4"/>
                <w:sz w:val="28"/>
                <w:szCs w:val="28"/>
              </w:rPr>
              <w:t>选手熟悉场地</w:t>
            </w:r>
          </w:p>
        </w:tc>
      </w:tr>
      <w:tr w:rsidR="00521531">
        <w:trPr>
          <w:trHeight w:val="567"/>
          <w:jc w:val="center"/>
        </w:trPr>
        <w:tc>
          <w:tcPr>
            <w:tcW w:w="1389" w:type="dxa"/>
            <w:vMerge w:val="restart"/>
            <w:vAlign w:val="center"/>
          </w:tcPr>
          <w:p w:rsidR="00521531" w:rsidRDefault="00E61E69">
            <w:pPr>
              <w:spacing w:before="91" w:line="190" w:lineRule="auto"/>
              <w:ind w:firstLine="136"/>
              <w:jc w:val="center"/>
              <w:rPr>
                <w:rFonts w:ascii="仿宋" w:eastAsia="仿宋" w:hAnsi="仿宋" w:cs="仿宋"/>
                <w:spacing w:val="-10"/>
                <w:sz w:val="28"/>
                <w:szCs w:val="28"/>
              </w:rPr>
            </w:pPr>
            <w:r>
              <w:rPr>
                <w:rFonts w:ascii="仿宋" w:eastAsia="仿宋" w:hAnsi="仿宋" w:cs="仿宋"/>
                <w:spacing w:val="-10"/>
                <w:sz w:val="28"/>
                <w:szCs w:val="28"/>
              </w:rPr>
              <w:t>第</w:t>
            </w:r>
            <w:r>
              <w:rPr>
                <w:rFonts w:ascii="仿宋" w:eastAsia="仿宋" w:hAnsi="仿宋" w:cs="仿宋" w:hint="eastAsia"/>
                <w:spacing w:val="-10"/>
                <w:sz w:val="28"/>
                <w:szCs w:val="28"/>
              </w:rPr>
              <w:t>二</w:t>
            </w:r>
            <w:r>
              <w:rPr>
                <w:rFonts w:ascii="仿宋" w:eastAsia="仿宋" w:hAnsi="仿宋" w:cs="仿宋"/>
                <w:spacing w:val="-10"/>
                <w:sz w:val="28"/>
                <w:szCs w:val="28"/>
              </w:rPr>
              <w:t>天</w:t>
            </w: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6</w:t>
            </w:r>
            <w:r>
              <w:rPr>
                <w:rFonts w:ascii="仿宋" w:eastAsia="仿宋" w:hAnsi="仿宋" w:cs="仿宋"/>
                <w:spacing w:val="-11"/>
                <w:w w:val="80"/>
                <w:sz w:val="28"/>
                <w:szCs w:val="28"/>
              </w:rPr>
              <w:t>：</w:t>
            </w:r>
            <w:r>
              <w:rPr>
                <w:rFonts w:ascii="仿宋" w:eastAsia="仿宋" w:hAnsi="仿宋" w:cs="仿宋" w:hint="eastAsia"/>
                <w:spacing w:val="-11"/>
                <w:w w:val="80"/>
                <w:sz w:val="28"/>
                <w:szCs w:val="28"/>
              </w:rPr>
              <w:t>30</w:t>
            </w:r>
          </w:p>
        </w:tc>
        <w:tc>
          <w:tcPr>
            <w:tcW w:w="5091" w:type="dxa"/>
            <w:vAlign w:val="center"/>
          </w:tcPr>
          <w:p w:rsidR="00521531" w:rsidRDefault="00E61E69">
            <w:pPr>
              <w:spacing w:before="175"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参赛选手到赛场（赛位抽签）</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6</w:t>
            </w:r>
            <w:r>
              <w:rPr>
                <w:rFonts w:ascii="仿宋" w:eastAsia="仿宋" w:hAnsi="仿宋" w:cs="仿宋"/>
                <w:spacing w:val="-11"/>
                <w:w w:val="80"/>
                <w:sz w:val="28"/>
                <w:szCs w:val="28"/>
              </w:rPr>
              <w:t>：</w:t>
            </w:r>
            <w:r>
              <w:rPr>
                <w:rFonts w:ascii="仿宋" w:eastAsia="仿宋" w:hAnsi="仿宋" w:cs="仿宋" w:hint="eastAsia"/>
                <w:spacing w:val="-11"/>
                <w:w w:val="80"/>
                <w:sz w:val="28"/>
                <w:szCs w:val="28"/>
              </w:rPr>
              <w:t>40</w:t>
            </w:r>
            <w:r>
              <w:rPr>
                <w:rFonts w:ascii="仿宋" w:eastAsia="仿宋" w:hAnsi="仿宋" w:cs="仿宋"/>
                <w:spacing w:val="-11"/>
                <w:w w:val="80"/>
                <w:sz w:val="28"/>
                <w:szCs w:val="28"/>
              </w:rPr>
              <w:t>—</w:t>
            </w:r>
            <w:r>
              <w:rPr>
                <w:rFonts w:ascii="仿宋" w:eastAsia="仿宋" w:hAnsi="仿宋" w:cs="仿宋" w:hint="eastAsia"/>
                <w:spacing w:val="-11"/>
                <w:w w:val="80"/>
                <w:sz w:val="28"/>
                <w:szCs w:val="28"/>
              </w:rPr>
              <w:t>12：40</w:t>
            </w:r>
          </w:p>
        </w:tc>
        <w:tc>
          <w:tcPr>
            <w:tcW w:w="5091" w:type="dxa"/>
            <w:vAlign w:val="center"/>
          </w:tcPr>
          <w:p w:rsidR="00521531" w:rsidRDefault="00E61E69">
            <w:pPr>
              <w:spacing w:before="263"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正式比赛（</w:t>
            </w:r>
            <w:r>
              <w:rPr>
                <w:rFonts w:ascii="仿宋" w:eastAsia="仿宋" w:hAnsi="仿宋" w:cs="仿宋" w:hint="eastAsia"/>
                <w:spacing w:val="-2"/>
                <w:sz w:val="28"/>
                <w:szCs w:val="28"/>
              </w:rPr>
              <w:t>第一场</w:t>
            </w:r>
            <w:r>
              <w:rPr>
                <w:rFonts w:ascii="仿宋" w:eastAsia="仿宋" w:hAnsi="仿宋" w:cs="仿宋"/>
                <w:spacing w:val="-2"/>
                <w:sz w:val="28"/>
                <w:szCs w:val="28"/>
              </w:rPr>
              <w:t>）</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spacing w:val="-11"/>
                <w:w w:val="80"/>
                <w:sz w:val="28"/>
                <w:szCs w:val="28"/>
              </w:rPr>
              <w:t>1</w:t>
            </w:r>
            <w:r>
              <w:rPr>
                <w:rFonts w:ascii="仿宋" w:eastAsia="仿宋" w:hAnsi="仿宋" w:cs="仿宋" w:hint="eastAsia"/>
                <w:spacing w:val="-11"/>
                <w:w w:val="80"/>
                <w:sz w:val="28"/>
                <w:szCs w:val="28"/>
              </w:rPr>
              <w:t>3</w:t>
            </w:r>
            <w:r>
              <w:rPr>
                <w:rFonts w:ascii="仿宋" w:eastAsia="仿宋" w:hAnsi="仿宋" w:cs="仿宋"/>
                <w:spacing w:val="-11"/>
                <w:w w:val="80"/>
                <w:sz w:val="28"/>
                <w:szCs w:val="28"/>
              </w:rPr>
              <w:t>：</w:t>
            </w:r>
            <w:r>
              <w:rPr>
                <w:rFonts w:ascii="仿宋" w:eastAsia="仿宋" w:hAnsi="仿宋" w:cs="仿宋" w:hint="eastAsia"/>
                <w:spacing w:val="-11"/>
                <w:w w:val="80"/>
                <w:sz w:val="28"/>
                <w:szCs w:val="28"/>
              </w:rPr>
              <w:t>30</w:t>
            </w:r>
          </w:p>
        </w:tc>
        <w:tc>
          <w:tcPr>
            <w:tcW w:w="5091" w:type="dxa"/>
            <w:vAlign w:val="center"/>
          </w:tcPr>
          <w:p w:rsidR="00521531" w:rsidRDefault="00E61E69">
            <w:pPr>
              <w:spacing w:before="178"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参赛选手到赛场（赛位抽签）</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13：40-19：40</w:t>
            </w:r>
          </w:p>
        </w:tc>
        <w:tc>
          <w:tcPr>
            <w:tcW w:w="5091" w:type="dxa"/>
            <w:vAlign w:val="center"/>
          </w:tcPr>
          <w:p w:rsidR="00521531" w:rsidRDefault="00E61E69">
            <w:pPr>
              <w:spacing w:before="178" w:line="190" w:lineRule="auto"/>
              <w:jc w:val="center"/>
              <w:rPr>
                <w:rFonts w:ascii="仿宋" w:eastAsia="仿宋" w:hAnsi="仿宋" w:cs="仿宋"/>
                <w:snapToGrid w:val="0"/>
                <w:color w:val="000000"/>
                <w:spacing w:val="-2"/>
                <w:sz w:val="28"/>
                <w:szCs w:val="28"/>
              </w:rPr>
            </w:pPr>
            <w:r>
              <w:rPr>
                <w:rFonts w:ascii="仿宋" w:eastAsia="仿宋" w:hAnsi="仿宋" w:cs="仿宋"/>
                <w:spacing w:val="-1"/>
                <w:sz w:val="28"/>
                <w:szCs w:val="28"/>
              </w:rPr>
              <w:t>正式比赛</w:t>
            </w:r>
            <w:r>
              <w:rPr>
                <w:rFonts w:ascii="仿宋" w:eastAsia="仿宋" w:hAnsi="仿宋" w:cs="仿宋"/>
                <w:spacing w:val="-2"/>
                <w:sz w:val="28"/>
                <w:szCs w:val="28"/>
              </w:rPr>
              <w:t>（</w:t>
            </w:r>
            <w:r>
              <w:rPr>
                <w:rFonts w:ascii="仿宋" w:eastAsia="仿宋" w:hAnsi="仿宋" w:cs="仿宋" w:hint="eastAsia"/>
                <w:spacing w:val="-2"/>
                <w:sz w:val="28"/>
                <w:szCs w:val="28"/>
              </w:rPr>
              <w:t>第二场</w:t>
            </w:r>
            <w:r>
              <w:rPr>
                <w:rFonts w:ascii="仿宋" w:eastAsia="仿宋" w:hAnsi="仿宋" w:cs="仿宋"/>
                <w:spacing w:val="-2"/>
                <w:sz w:val="28"/>
                <w:szCs w:val="28"/>
              </w:rPr>
              <w:t>）</w:t>
            </w:r>
          </w:p>
        </w:tc>
      </w:tr>
      <w:tr w:rsidR="00521531">
        <w:trPr>
          <w:trHeight w:val="567"/>
          <w:jc w:val="center"/>
        </w:trPr>
        <w:tc>
          <w:tcPr>
            <w:tcW w:w="1389" w:type="dxa"/>
            <w:vMerge w:val="restart"/>
            <w:vAlign w:val="center"/>
          </w:tcPr>
          <w:p w:rsidR="00521531" w:rsidRDefault="00E61E69">
            <w:pPr>
              <w:spacing w:before="91" w:line="190" w:lineRule="auto"/>
              <w:ind w:firstLine="136"/>
              <w:jc w:val="center"/>
              <w:rPr>
                <w:rFonts w:ascii="仿宋" w:eastAsia="仿宋" w:hAnsi="仿宋" w:cs="仿宋"/>
                <w:spacing w:val="-10"/>
                <w:sz w:val="28"/>
                <w:szCs w:val="28"/>
              </w:rPr>
            </w:pPr>
            <w:r>
              <w:rPr>
                <w:rFonts w:ascii="仿宋" w:eastAsia="仿宋" w:hAnsi="仿宋" w:cs="仿宋"/>
                <w:spacing w:val="-10"/>
                <w:sz w:val="28"/>
                <w:szCs w:val="28"/>
              </w:rPr>
              <w:t>第</w:t>
            </w:r>
            <w:r>
              <w:rPr>
                <w:rFonts w:ascii="仿宋" w:eastAsia="仿宋" w:hAnsi="仿宋" w:cs="仿宋" w:hint="eastAsia"/>
                <w:spacing w:val="-10"/>
                <w:sz w:val="28"/>
                <w:szCs w:val="28"/>
              </w:rPr>
              <w:t>三</w:t>
            </w:r>
            <w:r>
              <w:rPr>
                <w:rFonts w:ascii="仿宋" w:eastAsia="仿宋" w:hAnsi="仿宋" w:cs="仿宋"/>
                <w:spacing w:val="-10"/>
                <w:sz w:val="28"/>
                <w:szCs w:val="28"/>
              </w:rPr>
              <w:t>天</w:t>
            </w: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6</w:t>
            </w:r>
            <w:r>
              <w:rPr>
                <w:rFonts w:ascii="仿宋" w:eastAsia="仿宋" w:hAnsi="仿宋" w:cs="仿宋"/>
                <w:spacing w:val="-11"/>
                <w:w w:val="80"/>
                <w:sz w:val="28"/>
                <w:szCs w:val="28"/>
              </w:rPr>
              <w:t>：</w:t>
            </w:r>
            <w:r>
              <w:rPr>
                <w:rFonts w:ascii="仿宋" w:eastAsia="仿宋" w:hAnsi="仿宋" w:cs="仿宋" w:hint="eastAsia"/>
                <w:spacing w:val="-11"/>
                <w:w w:val="80"/>
                <w:sz w:val="28"/>
                <w:szCs w:val="28"/>
              </w:rPr>
              <w:t>30</w:t>
            </w:r>
          </w:p>
        </w:tc>
        <w:tc>
          <w:tcPr>
            <w:tcW w:w="5091" w:type="dxa"/>
            <w:vAlign w:val="center"/>
          </w:tcPr>
          <w:p w:rsidR="00521531" w:rsidRDefault="00E61E69">
            <w:pPr>
              <w:spacing w:before="175"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参赛选手到赛场（赛位抽签）</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6</w:t>
            </w:r>
            <w:r>
              <w:rPr>
                <w:rFonts w:ascii="仿宋" w:eastAsia="仿宋" w:hAnsi="仿宋" w:cs="仿宋"/>
                <w:spacing w:val="-11"/>
                <w:w w:val="80"/>
                <w:sz w:val="28"/>
                <w:szCs w:val="28"/>
              </w:rPr>
              <w:t>：</w:t>
            </w:r>
            <w:r>
              <w:rPr>
                <w:rFonts w:ascii="仿宋" w:eastAsia="仿宋" w:hAnsi="仿宋" w:cs="仿宋" w:hint="eastAsia"/>
                <w:spacing w:val="-11"/>
                <w:w w:val="80"/>
                <w:sz w:val="28"/>
                <w:szCs w:val="28"/>
              </w:rPr>
              <w:t>40</w:t>
            </w:r>
            <w:r>
              <w:rPr>
                <w:rFonts w:ascii="仿宋" w:eastAsia="仿宋" w:hAnsi="仿宋" w:cs="仿宋"/>
                <w:spacing w:val="-11"/>
                <w:w w:val="80"/>
                <w:sz w:val="28"/>
                <w:szCs w:val="28"/>
              </w:rPr>
              <w:t>—</w:t>
            </w:r>
            <w:r>
              <w:rPr>
                <w:rFonts w:ascii="仿宋" w:eastAsia="仿宋" w:hAnsi="仿宋" w:cs="仿宋" w:hint="eastAsia"/>
                <w:spacing w:val="-11"/>
                <w:w w:val="80"/>
                <w:sz w:val="28"/>
                <w:szCs w:val="28"/>
              </w:rPr>
              <w:t>12：40</w:t>
            </w:r>
          </w:p>
        </w:tc>
        <w:tc>
          <w:tcPr>
            <w:tcW w:w="5091" w:type="dxa"/>
            <w:vAlign w:val="center"/>
          </w:tcPr>
          <w:p w:rsidR="00521531" w:rsidRDefault="00E61E69">
            <w:pPr>
              <w:spacing w:before="263"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正式比赛（</w:t>
            </w:r>
            <w:r>
              <w:rPr>
                <w:rFonts w:ascii="仿宋" w:eastAsia="仿宋" w:hAnsi="仿宋" w:cs="仿宋" w:hint="eastAsia"/>
                <w:spacing w:val="-2"/>
                <w:sz w:val="28"/>
                <w:szCs w:val="28"/>
              </w:rPr>
              <w:t>第一场</w:t>
            </w:r>
            <w:r>
              <w:rPr>
                <w:rFonts w:ascii="仿宋" w:eastAsia="仿宋" w:hAnsi="仿宋" w:cs="仿宋"/>
                <w:spacing w:val="-2"/>
                <w:sz w:val="28"/>
                <w:szCs w:val="28"/>
              </w:rPr>
              <w:t>）</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spacing w:val="-11"/>
                <w:w w:val="80"/>
                <w:sz w:val="28"/>
                <w:szCs w:val="28"/>
              </w:rPr>
              <w:t>1</w:t>
            </w:r>
            <w:r>
              <w:rPr>
                <w:rFonts w:ascii="仿宋" w:eastAsia="仿宋" w:hAnsi="仿宋" w:cs="仿宋" w:hint="eastAsia"/>
                <w:spacing w:val="-11"/>
                <w:w w:val="80"/>
                <w:sz w:val="28"/>
                <w:szCs w:val="28"/>
              </w:rPr>
              <w:t>3</w:t>
            </w:r>
            <w:r>
              <w:rPr>
                <w:rFonts w:ascii="仿宋" w:eastAsia="仿宋" w:hAnsi="仿宋" w:cs="仿宋"/>
                <w:spacing w:val="-11"/>
                <w:w w:val="80"/>
                <w:sz w:val="28"/>
                <w:szCs w:val="28"/>
              </w:rPr>
              <w:t>：</w:t>
            </w:r>
            <w:r>
              <w:rPr>
                <w:rFonts w:ascii="仿宋" w:eastAsia="仿宋" w:hAnsi="仿宋" w:cs="仿宋" w:hint="eastAsia"/>
                <w:spacing w:val="-11"/>
                <w:w w:val="80"/>
                <w:sz w:val="28"/>
                <w:szCs w:val="28"/>
              </w:rPr>
              <w:t>30</w:t>
            </w:r>
          </w:p>
        </w:tc>
        <w:tc>
          <w:tcPr>
            <w:tcW w:w="5091" w:type="dxa"/>
            <w:vAlign w:val="center"/>
          </w:tcPr>
          <w:p w:rsidR="00521531" w:rsidRDefault="00E61E69">
            <w:pPr>
              <w:spacing w:before="178" w:line="190" w:lineRule="auto"/>
              <w:jc w:val="center"/>
              <w:rPr>
                <w:rFonts w:ascii="仿宋" w:eastAsia="仿宋" w:hAnsi="仿宋" w:cs="仿宋"/>
                <w:snapToGrid w:val="0"/>
                <w:color w:val="000000"/>
                <w:sz w:val="28"/>
                <w:szCs w:val="28"/>
              </w:rPr>
            </w:pPr>
            <w:r>
              <w:rPr>
                <w:rFonts w:ascii="仿宋" w:eastAsia="仿宋" w:hAnsi="仿宋" w:cs="仿宋"/>
                <w:spacing w:val="-2"/>
                <w:sz w:val="28"/>
                <w:szCs w:val="28"/>
              </w:rPr>
              <w:t>参赛选手到赛场（赛位抽签）</w:t>
            </w:r>
          </w:p>
        </w:tc>
      </w:tr>
      <w:tr w:rsidR="00521531">
        <w:trPr>
          <w:trHeight w:val="567"/>
          <w:jc w:val="center"/>
        </w:trPr>
        <w:tc>
          <w:tcPr>
            <w:tcW w:w="1389" w:type="dxa"/>
            <w:vMerge/>
            <w:vAlign w:val="center"/>
          </w:tcPr>
          <w:p w:rsidR="00521531" w:rsidRDefault="00521531">
            <w:pPr>
              <w:spacing w:before="91" w:line="190" w:lineRule="auto"/>
              <w:ind w:firstLine="136"/>
              <w:jc w:val="center"/>
              <w:rPr>
                <w:rFonts w:ascii="仿宋" w:eastAsia="仿宋" w:hAnsi="仿宋" w:cs="仿宋"/>
                <w:spacing w:val="-10"/>
                <w:sz w:val="28"/>
                <w:szCs w:val="28"/>
              </w:rPr>
            </w:pP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hint="eastAsia"/>
                <w:spacing w:val="-11"/>
                <w:w w:val="80"/>
                <w:sz w:val="28"/>
                <w:szCs w:val="28"/>
              </w:rPr>
              <w:t>13：40-19：40</w:t>
            </w:r>
          </w:p>
        </w:tc>
        <w:tc>
          <w:tcPr>
            <w:tcW w:w="5091" w:type="dxa"/>
            <w:vAlign w:val="center"/>
          </w:tcPr>
          <w:p w:rsidR="00521531" w:rsidRDefault="00E61E69">
            <w:pPr>
              <w:spacing w:before="178" w:line="190" w:lineRule="auto"/>
              <w:jc w:val="center"/>
              <w:rPr>
                <w:rFonts w:ascii="仿宋" w:eastAsia="仿宋" w:hAnsi="仿宋" w:cs="仿宋"/>
                <w:snapToGrid w:val="0"/>
                <w:color w:val="000000"/>
                <w:spacing w:val="-2"/>
                <w:sz w:val="28"/>
                <w:szCs w:val="28"/>
              </w:rPr>
            </w:pPr>
            <w:r>
              <w:rPr>
                <w:rFonts w:ascii="仿宋" w:eastAsia="仿宋" w:hAnsi="仿宋" w:cs="仿宋"/>
                <w:spacing w:val="-1"/>
                <w:sz w:val="28"/>
                <w:szCs w:val="28"/>
              </w:rPr>
              <w:t>正式比赛</w:t>
            </w:r>
            <w:r>
              <w:rPr>
                <w:rFonts w:ascii="仿宋" w:eastAsia="仿宋" w:hAnsi="仿宋" w:cs="仿宋"/>
                <w:spacing w:val="-2"/>
                <w:sz w:val="28"/>
                <w:szCs w:val="28"/>
              </w:rPr>
              <w:t>（</w:t>
            </w:r>
            <w:r>
              <w:rPr>
                <w:rFonts w:ascii="仿宋" w:eastAsia="仿宋" w:hAnsi="仿宋" w:cs="仿宋" w:hint="eastAsia"/>
                <w:spacing w:val="-2"/>
                <w:sz w:val="28"/>
                <w:szCs w:val="28"/>
              </w:rPr>
              <w:t>第二场</w:t>
            </w:r>
            <w:r>
              <w:rPr>
                <w:rFonts w:ascii="仿宋" w:eastAsia="仿宋" w:hAnsi="仿宋" w:cs="仿宋"/>
                <w:spacing w:val="-2"/>
                <w:sz w:val="28"/>
                <w:szCs w:val="28"/>
              </w:rPr>
              <w:t>）</w:t>
            </w:r>
          </w:p>
        </w:tc>
      </w:tr>
      <w:tr w:rsidR="00521531">
        <w:trPr>
          <w:trHeight w:val="567"/>
          <w:jc w:val="center"/>
        </w:trPr>
        <w:tc>
          <w:tcPr>
            <w:tcW w:w="1389" w:type="dxa"/>
            <w:vAlign w:val="center"/>
          </w:tcPr>
          <w:p w:rsidR="00521531" w:rsidRDefault="00E61E69">
            <w:pPr>
              <w:jc w:val="center"/>
              <w:rPr>
                <w:rFonts w:ascii="黑体"/>
              </w:rPr>
            </w:pPr>
            <w:r>
              <w:rPr>
                <w:rFonts w:ascii="仿宋" w:eastAsia="仿宋" w:hAnsi="仿宋" w:cs="仿宋"/>
                <w:spacing w:val="-10"/>
                <w:sz w:val="28"/>
                <w:szCs w:val="28"/>
              </w:rPr>
              <w:t>第</w:t>
            </w:r>
            <w:r>
              <w:rPr>
                <w:rFonts w:ascii="仿宋" w:eastAsia="仿宋" w:hAnsi="仿宋" w:cs="仿宋" w:hint="eastAsia"/>
                <w:spacing w:val="-10"/>
                <w:sz w:val="28"/>
                <w:szCs w:val="28"/>
              </w:rPr>
              <w:t>四</w:t>
            </w:r>
            <w:r>
              <w:rPr>
                <w:rFonts w:ascii="仿宋" w:eastAsia="仿宋" w:hAnsi="仿宋" w:cs="仿宋"/>
                <w:spacing w:val="-10"/>
                <w:sz w:val="28"/>
                <w:szCs w:val="28"/>
              </w:rPr>
              <w:t>天</w:t>
            </w:r>
          </w:p>
        </w:tc>
        <w:tc>
          <w:tcPr>
            <w:tcW w:w="2382" w:type="dxa"/>
            <w:vAlign w:val="center"/>
          </w:tcPr>
          <w:p w:rsidR="00521531" w:rsidRDefault="00E61E69">
            <w:pPr>
              <w:spacing w:before="178" w:line="190" w:lineRule="auto"/>
              <w:ind w:firstLine="691"/>
              <w:jc w:val="left"/>
              <w:rPr>
                <w:rFonts w:ascii="仿宋" w:eastAsia="仿宋" w:hAnsi="仿宋" w:cs="仿宋"/>
                <w:spacing w:val="-11"/>
                <w:w w:val="80"/>
                <w:sz w:val="28"/>
                <w:szCs w:val="28"/>
              </w:rPr>
            </w:pPr>
            <w:r>
              <w:rPr>
                <w:rFonts w:ascii="仿宋" w:eastAsia="仿宋" w:hAnsi="仿宋" w:cs="仿宋"/>
                <w:spacing w:val="-11"/>
                <w:w w:val="80"/>
                <w:sz w:val="28"/>
                <w:szCs w:val="28"/>
              </w:rPr>
              <w:t>10:00</w:t>
            </w:r>
          </w:p>
        </w:tc>
        <w:tc>
          <w:tcPr>
            <w:tcW w:w="5091" w:type="dxa"/>
            <w:vAlign w:val="center"/>
          </w:tcPr>
          <w:p w:rsidR="00521531" w:rsidRDefault="00E61E69">
            <w:pPr>
              <w:spacing w:before="173" w:line="624" w:lineRule="exact"/>
              <w:jc w:val="center"/>
              <w:rPr>
                <w:rFonts w:ascii="仿宋" w:eastAsia="仿宋" w:hAnsi="仿宋" w:cs="仿宋"/>
                <w:spacing w:val="-1"/>
                <w:position w:val="25"/>
                <w:sz w:val="28"/>
                <w:szCs w:val="28"/>
              </w:rPr>
            </w:pPr>
            <w:r>
              <w:rPr>
                <w:rFonts w:ascii="仿宋" w:eastAsia="仿宋" w:hAnsi="仿宋" w:cs="仿宋"/>
                <w:spacing w:val="-3"/>
                <w:sz w:val="28"/>
                <w:szCs w:val="28"/>
              </w:rPr>
              <w:t>大赛闭</w:t>
            </w:r>
            <w:r>
              <w:rPr>
                <w:rFonts w:ascii="仿宋" w:eastAsia="仿宋" w:hAnsi="仿宋" w:cs="仿宋" w:hint="eastAsia"/>
                <w:sz w:val="28"/>
                <w:szCs w:val="28"/>
              </w:rPr>
              <w:t>幕</w:t>
            </w:r>
            <w:r>
              <w:rPr>
                <w:rFonts w:ascii="仿宋" w:eastAsia="仿宋" w:hAnsi="仿宋" w:cs="仿宋"/>
                <w:spacing w:val="-3"/>
                <w:sz w:val="28"/>
                <w:szCs w:val="28"/>
              </w:rPr>
              <w:t>式</w:t>
            </w:r>
          </w:p>
        </w:tc>
      </w:tr>
    </w:tbl>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0" w:name="_Toc504482533"/>
      <w:r w:rsidRPr="004B6822">
        <w:rPr>
          <w:rFonts w:ascii="黑体" w:eastAsia="黑体" w:hAnsi="黑体" w:cs="Times New Roman" w:hint="eastAsia"/>
          <w:b/>
          <w:sz w:val="30"/>
          <w:szCs w:val="30"/>
        </w:rPr>
        <w:t>六、竞赛试题</w:t>
      </w:r>
      <w:bookmarkEnd w:id="10"/>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（一）竞赛试题委托由重庆市职业院校技能大赛组委会办公室聘请专家拟定。</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（二）试题套数根据比赛场数进行确定。</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（三）试题由重庆市职业院校技能大赛组委会办公室保管，于比</w:t>
      </w:r>
      <w:r>
        <w:rPr>
          <w:rFonts w:ascii="仿宋" w:eastAsia="仿宋" w:hAnsi="仿宋" w:cs="仿宋" w:hint="eastAsia"/>
          <w:sz w:val="28"/>
          <w:szCs w:val="28"/>
        </w:rPr>
        <w:lastRenderedPageBreak/>
        <w:t>赛当日在裁判组及赛场监督的指导下当众解封。</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1" w:name="_Toc504482534"/>
      <w:bookmarkStart w:id="12" w:name="_Toc460654215"/>
      <w:r w:rsidRPr="004B6822">
        <w:rPr>
          <w:rFonts w:ascii="黑体" w:eastAsia="黑体" w:hAnsi="黑体" w:cs="Times New Roman" w:hint="eastAsia"/>
          <w:b/>
          <w:sz w:val="30"/>
          <w:szCs w:val="30"/>
        </w:rPr>
        <w:t>七、竞赛规则</w:t>
      </w:r>
      <w:bookmarkEnd w:id="11"/>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（一）参赛选手应认真学习领会本次竞赛相关文件，自觉遵守竞赛纪律，服从指挥，听从安排，文明参赛，在连续</w:t>
      </w:r>
      <w:r>
        <w:rPr>
          <w:rFonts w:ascii="仿宋" w:eastAsia="仿宋" w:hAnsi="仿宋" w:cs="仿宋"/>
          <w:sz w:val="28"/>
          <w:szCs w:val="28"/>
        </w:rPr>
        <w:t>6</w:t>
      </w:r>
      <w:r>
        <w:rPr>
          <w:rFonts w:ascii="仿宋" w:eastAsia="仿宋" w:hAnsi="仿宋" w:cs="仿宋" w:hint="eastAsia"/>
          <w:sz w:val="28"/>
          <w:szCs w:val="28"/>
        </w:rPr>
        <w:t>小时的时间内完成竞赛任务（含现场评分时间）。</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（二）参赛选手禁止携带与竞赛无关的电子设备、通讯设备及其他相关资料与用品进入赛场。</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（三）参赛选手应提前10分钟到达赛场，凭参赛证、身份证及学生证检录，按要求入场，不得迟到早退。</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（四）参赛选手应增强角色意识，严格执行财经法律法规，按照内部控制的要求，科学合理分工与合作。</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（五）参赛选手应按有关要求在指定位置就坐。</w:t>
      </w:r>
    </w:p>
    <w:p w:rsidR="00521531" w:rsidRDefault="00E61E69">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六）在竞赛过程中，如有疑问或遇竞赛用设备、软件等故障，参赛选手应按要求示意提问，竞赛裁判长、技术人员等应按照有关要求及时予以答疑、解决。确因计算机硬件或软件故障，致使操作无法继续的，经竞赛裁判长、技术人员等确认，准予启用备用计算机。</w:t>
      </w:r>
    </w:p>
    <w:p w:rsidR="00521531" w:rsidRDefault="00E61E69">
      <w:pPr>
        <w:ind w:firstLineChars="200" w:firstLine="560"/>
        <w:jc w:val="left"/>
        <w:rPr>
          <w:rFonts w:ascii="仿宋" w:eastAsia="仿宋" w:hAnsi="仿宋" w:cs="仿宋"/>
          <w:sz w:val="28"/>
          <w:szCs w:val="28"/>
        </w:rPr>
      </w:pPr>
      <w:r>
        <w:rPr>
          <w:rFonts w:ascii="仿宋" w:eastAsia="仿宋" w:hAnsi="仿宋" w:cs="仿宋" w:hint="eastAsia"/>
          <w:sz w:val="28"/>
          <w:szCs w:val="28"/>
        </w:rPr>
        <w:t>（七）竞赛时间终了，选手应立即起立，结束操作。将资料和工具整齐摆放在操作平台上，经工作人员清点后方可离开赛场，离开赛场时不得带走任何资料。</w:t>
      </w:r>
    </w:p>
    <w:p w:rsidR="00521531" w:rsidRDefault="00E61E69">
      <w:pPr>
        <w:ind w:firstLineChars="200" w:firstLine="560"/>
        <w:jc w:val="left"/>
        <w:rPr>
          <w:rFonts w:ascii="仿宋" w:eastAsia="仿宋" w:hAnsi="仿宋" w:cs="仿宋"/>
          <w:b/>
          <w:bCs/>
          <w:sz w:val="28"/>
          <w:szCs w:val="28"/>
        </w:rPr>
      </w:pPr>
      <w:r>
        <w:rPr>
          <w:rFonts w:ascii="仿宋" w:eastAsia="仿宋" w:hAnsi="仿宋" w:cs="仿宋" w:hint="eastAsia"/>
          <w:sz w:val="28"/>
          <w:szCs w:val="28"/>
        </w:rPr>
        <w:t>（八）参赛队若对赛事有异议，可由领队按规程提出书面申诉。</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3" w:name="_Toc504482535"/>
      <w:r w:rsidRPr="004B6822">
        <w:rPr>
          <w:rFonts w:ascii="黑体" w:eastAsia="黑体" w:hAnsi="黑体" w:cs="Times New Roman" w:hint="eastAsia"/>
          <w:b/>
          <w:sz w:val="30"/>
          <w:szCs w:val="30"/>
        </w:rPr>
        <w:t>八、竞赛环境</w:t>
      </w:r>
      <w:bookmarkEnd w:id="13"/>
    </w:p>
    <w:p w:rsidR="00521531" w:rsidRDefault="00E61E69">
      <w:pPr>
        <w:widowControl/>
        <w:spacing w:after="240"/>
        <w:jc w:val="left"/>
        <w:rPr>
          <w:rFonts w:ascii="仿宋" w:eastAsia="仿宋" w:hAnsi="仿宋" w:cs="仿宋"/>
          <w:b/>
          <w:bCs/>
          <w:sz w:val="28"/>
          <w:szCs w:val="28"/>
        </w:rPr>
      </w:pPr>
      <w:r>
        <w:rPr>
          <w:rFonts w:ascii="仿宋" w:eastAsia="仿宋" w:hAnsi="仿宋" w:cs="仿宋" w:hint="eastAsia"/>
          <w:b/>
          <w:bCs/>
          <w:sz w:val="28"/>
          <w:szCs w:val="28"/>
        </w:rPr>
        <w:lastRenderedPageBreak/>
        <w:t xml:space="preserve">    </w:t>
      </w:r>
      <w:r>
        <w:rPr>
          <w:rFonts w:ascii="仿宋" w:eastAsia="仿宋" w:hAnsi="仿宋" w:cs="仿宋" w:hint="eastAsia"/>
          <w:sz w:val="28"/>
          <w:szCs w:val="28"/>
        </w:rPr>
        <w:t>（一）竞赛场地。竞赛场地设置竞赛区、裁判区，服务区，技术支持区，现场保证良好的采光，照明和通风，提供稳定的电源和应急设施，同时提供所有的指导教师休息室一间。</w:t>
      </w:r>
      <w:r>
        <w:rPr>
          <w:rFonts w:ascii="仿宋" w:eastAsia="仿宋" w:hAnsi="仿宋" w:cs="仿宋" w:hint="eastAsia"/>
          <w:sz w:val="28"/>
          <w:szCs w:val="28"/>
        </w:rPr>
        <w:br/>
        <w:t xml:space="preserve">    （二）竞赛设备。所有竞赛设备由组委会负责提供和保障，竞赛区按照参赛队数量准备比赛所需的软硬件平台，为参赛队提供标准竞赛设备6套（暂定）。</w:t>
      </w:r>
      <w:r>
        <w:rPr>
          <w:rFonts w:ascii="仿宋" w:eastAsia="仿宋" w:hAnsi="仿宋" w:cs="仿宋" w:hint="eastAsia"/>
          <w:sz w:val="28"/>
          <w:szCs w:val="28"/>
          <w:highlight w:val="yellow"/>
        </w:rPr>
        <w:br/>
      </w:r>
      <w:r>
        <w:rPr>
          <w:rFonts w:ascii="仿宋" w:eastAsia="仿宋" w:hAnsi="仿宋" w:cs="仿宋" w:hint="eastAsia"/>
          <w:sz w:val="28"/>
          <w:szCs w:val="28"/>
        </w:rPr>
        <w:t>   （三）技术支持区。技术支持区为技术人员准备区域，其间摆放竞赛相关设备及备件。</w:t>
      </w:r>
      <w:r>
        <w:rPr>
          <w:rFonts w:ascii="仿宋" w:eastAsia="仿宋" w:hAnsi="仿宋" w:cs="仿宋" w:hint="eastAsia"/>
          <w:sz w:val="28"/>
          <w:szCs w:val="28"/>
        </w:rPr>
        <w:br/>
        <w:t xml:space="preserve">    （四）场地开放。场地在规定时间向参赛院校开放进行现场参观，比赛期间，非比赛队伍指导教师及参赛选手不得进入比赛场地。</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4" w:name="_Toc504482536"/>
      <w:r w:rsidRPr="004B6822">
        <w:rPr>
          <w:rFonts w:ascii="黑体" w:eastAsia="黑体" w:hAnsi="黑体" w:cs="Times New Roman" w:hint="eastAsia"/>
          <w:b/>
          <w:sz w:val="30"/>
          <w:szCs w:val="30"/>
        </w:rPr>
        <w:t>九、技术规范</w:t>
      </w:r>
      <w:bookmarkEnd w:id="14"/>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（一）职业标准：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1.维修电工国家职业标准（职业编码6-07-06-05）</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2.工具钳工国家职业标准（职业编码6-05-02-02）</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3.装配钳工国家职业标准（职业编码6-05-02-01）</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4.机械设备安装工国家职业标准（职业编码6-23-10-01）</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5.可编程控制系统设计师国家职业标准（职业编码X2-02-13-10）</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（二）教学标准：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w:t>
      </w:r>
      <w:hyperlink r:id="rId9" w:tgtFrame="_blank" w:history="1">
        <w:r>
          <w:rPr>
            <w:rFonts w:ascii="仿宋" w:eastAsia="仿宋" w:hAnsi="仿宋" w:cs="仿宋" w:hint="eastAsia"/>
            <w:sz w:val="28"/>
            <w:szCs w:val="30"/>
          </w:rPr>
          <w:t>国家职业教育工业机器人技术专业教学资源库</w:t>
        </w:r>
      </w:hyperlink>
      <w:r>
        <w:rPr>
          <w:rFonts w:ascii="仿宋" w:eastAsia="仿宋" w:hAnsi="仿宋" w:cs="仿宋" w:hint="eastAsia"/>
          <w:sz w:val="28"/>
          <w:szCs w:val="30"/>
        </w:rPr>
        <w:t>》。</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（三）其他技术标准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1.装配机器人通用技术条件标准（GBT 26154-2010）</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2.工业机器人安全规范（GB 11291-1997）</w:t>
      </w:r>
    </w:p>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5" w:name="_Toc504482537"/>
      <w:r w:rsidRPr="004B6822">
        <w:rPr>
          <w:rFonts w:ascii="黑体" w:eastAsia="黑体" w:hAnsi="黑体" w:cs="Times New Roman" w:hint="eastAsia"/>
          <w:b/>
          <w:sz w:val="30"/>
          <w:szCs w:val="30"/>
        </w:rPr>
        <w:lastRenderedPageBreak/>
        <w:t>十、技术平台</w:t>
      </w:r>
      <w:bookmarkEnd w:id="15"/>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竞赛平台采用相同指标的设备平台，工具、耗材统一提供。竞赛平台型号如下：</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竞赛平台由重庆华中数控技术有限公司和江苏汇博机器人有限公司提供。</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注：以上两家公司提供的设备平台由参赛队任选，并在报名时确定设备提供厂商。</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技术平台组成如图1所示：</w:t>
      </w:r>
    </w:p>
    <w:p w:rsidR="00521531" w:rsidRDefault="00521531">
      <w:pPr>
        <w:jc w:val="center"/>
        <w:rPr>
          <w:rFonts w:ascii="仿宋" w:eastAsia="仿宋" w:hAnsi="仿宋" w:cs="仿宋"/>
          <w:color w:val="000000"/>
        </w:rPr>
      </w:pPr>
    </w:p>
    <w:p w:rsidR="00521531" w:rsidRDefault="00E61E69">
      <w:pPr>
        <w:jc w:val="center"/>
        <w:rPr>
          <w:rFonts w:ascii="仿宋" w:eastAsia="仿宋" w:hAnsi="仿宋" w:cs="仿宋"/>
          <w:color w:val="000000"/>
        </w:rPr>
      </w:pPr>
      <w:r>
        <w:rPr>
          <w:rFonts w:ascii="仿宋" w:eastAsia="仿宋" w:hAnsi="仿宋" w:cs="仿宋" w:hint="eastAsia"/>
          <w:noProof/>
        </w:rPr>
        <w:drawing>
          <wp:inline distT="0" distB="0" distL="114300" distR="114300">
            <wp:extent cx="4577080" cy="3173730"/>
            <wp:effectExtent l="1905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0" cstate="print"/>
                    <a:srcRect l="12263" t="16077" r="28337" b="10718"/>
                    <a:stretch>
                      <a:fillRect/>
                    </a:stretch>
                  </pic:blipFill>
                  <pic:spPr>
                    <a:xfrm>
                      <a:off x="0" y="0"/>
                      <a:ext cx="4576894" cy="3173832"/>
                    </a:xfrm>
                    <a:prstGeom prst="rect">
                      <a:avLst/>
                    </a:prstGeom>
                    <a:noFill/>
                    <a:ln>
                      <a:noFill/>
                    </a:ln>
                  </pic:spPr>
                </pic:pic>
              </a:graphicData>
            </a:graphic>
          </wp:inline>
        </w:drawing>
      </w:r>
    </w:p>
    <w:p w:rsidR="00521531" w:rsidRDefault="00E61E69">
      <w:pPr>
        <w:jc w:val="center"/>
        <w:rPr>
          <w:rFonts w:ascii="仿宋" w:eastAsia="仿宋" w:hAnsi="仿宋" w:cs="仿宋"/>
          <w:color w:val="000000"/>
          <w:sz w:val="24"/>
          <w:szCs w:val="28"/>
        </w:rPr>
      </w:pPr>
      <w:r>
        <w:rPr>
          <w:rFonts w:ascii="仿宋" w:eastAsia="仿宋" w:hAnsi="仿宋" w:cs="仿宋" w:hint="eastAsia"/>
          <w:color w:val="000000"/>
          <w:sz w:val="24"/>
          <w:szCs w:val="28"/>
        </w:rPr>
        <w:t>图1 竞赛技术平台组成</w:t>
      </w:r>
    </w:p>
    <w:p w:rsidR="00521531" w:rsidRDefault="00E61E69">
      <w:pPr>
        <w:spacing w:line="360" w:lineRule="auto"/>
        <w:jc w:val="center"/>
        <w:rPr>
          <w:rFonts w:ascii="仿宋" w:eastAsia="仿宋" w:hAnsi="仿宋" w:cs="仿宋"/>
          <w:color w:val="000000"/>
          <w:sz w:val="30"/>
          <w:szCs w:val="30"/>
        </w:rPr>
      </w:pPr>
      <w:r>
        <w:rPr>
          <w:rFonts w:ascii="仿宋" w:eastAsia="仿宋" w:hAnsi="仿宋" w:cs="仿宋" w:hint="eastAsia"/>
          <w:noProof/>
          <w:color w:val="000000"/>
          <w:sz w:val="30"/>
          <w:szCs w:val="30"/>
        </w:rPr>
        <w:lastRenderedPageBreak/>
        <w:drawing>
          <wp:inline distT="0" distB="0" distL="114300" distR="114300">
            <wp:extent cx="4562475" cy="2848610"/>
            <wp:effectExtent l="0" t="0" r="9525" b="889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1" cstate="print"/>
                    <a:srcRect r="1186"/>
                    <a:stretch>
                      <a:fillRect/>
                    </a:stretch>
                  </pic:blipFill>
                  <pic:spPr>
                    <a:xfrm>
                      <a:off x="0" y="0"/>
                      <a:ext cx="4562475" cy="2848610"/>
                    </a:xfrm>
                    <a:prstGeom prst="rect">
                      <a:avLst/>
                    </a:prstGeom>
                    <a:noFill/>
                    <a:ln>
                      <a:noFill/>
                    </a:ln>
                  </pic:spPr>
                </pic:pic>
              </a:graphicData>
            </a:graphic>
          </wp:inline>
        </w:drawing>
      </w:r>
    </w:p>
    <w:p w:rsidR="00521531" w:rsidRDefault="00E61E69">
      <w:pPr>
        <w:spacing w:line="360" w:lineRule="auto"/>
        <w:jc w:val="center"/>
        <w:rPr>
          <w:rFonts w:ascii="仿宋" w:eastAsia="仿宋" w:hAnsi="仿宋" w:cs="仿宋"/>
          <w:color w:val="000000"/>
          <w:sz w:val="24"/>
          <w:szCs w:val="30"/>
        </w:rPr>
      </w:pPr>
      <w:r>
        <w:rPr>
          <w:rFonts w:ascii="仿宋" w:eastAsia="仿宋" w:hAnsi="仿宋" w:cs="仿宋" w:hint="eastAsia"/>
          <w:color w:val="000000"/>
          <w:sz w:val="24"/>
          <w:szCs w:val="30"/>
        </w:rPr>
        <w:t>图2 设备场地布局图</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竞赛平台主要完成机器人关节的混流生产，机器人关节由4个工（部）件组成，分别是关节底座、电机、谐波减速器和输出法兰，如图3所示，可以根据生产要求进行混装，实现产品个性化定制要求。</w:t>
      </w:r>
    </w:p>
    <w:p w:rsidR="00521531" w:rsidRDefault="00E61E69">
      <w:pPr>
        <w:spacing w:line="360" w:lineRule="auto"/>
        <w:rPr>
          <w:rFonts w:ascii="仿宋" w:eastAsia="仿宋" w:hAnsi="仿宋" w:cs="仿宋"/>
          <w:color w:val="000000"/>
          <w:sz w:val="28"/>
          <w:szCs w:val="28"/>
        </w:rPr>
      </w:pPr>
      <w:r>
        <w:rPr>
          <w:rFonts w:ascii="仿宋" w:eastAsia="仿宋" w:hAnsi="仿宋" w:cs="仿宋" w:hint="eastAsia"/>
          <w:noProof/>
          <w:spacing w:val="-9"/>
          <w:sz w:val="28"/>
          <w:szCs w:val="28"/>
        </w:rPr>
        <w:drawing>
          <wp:inline distT="0" distB="0" distL="114300" distR="114300">
            <wp:extent cx="5333365" cy="2143125"/>
            <wp:effectExtent l="0" t="0" r="635" b="9525"/>
            <wp:docPr id="22" name="图片 22" descr="164005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40057208"/>
                    <pic:cNvPicPr>
                      <a:picLocks noChangeAspect="1"/>
                    </pic:cNvPicPr>
                  </pic:nvPicPr>
                  <pic:blipFill>
                    <a:blip r:embed="rId12" cstate="print"/>
                    <a:stretch>
                      <a:fillRect/>
                    </a:stretch>
                  </pic:blipFill>
                  <pic:spPr>
                    <a:xfrm>
                      <a:off x="0" y="0"/>
                      <a:ext cx="5333365" cy="2143125"/>
                    </a:xfrm>
                    <a:prstGeom prst="rect">
                      <a:avLst/>
                    </a:prstGeom>
                  </pic:spPr>
                </pic:pic>
              </a:graphicData>
            </a:graphic>
          </wp:inline>
        </w:drawing>
      </w:r>
    </w:p>
    <w:p w:rsidR="00521531" w:rsidRDefault="00E61E69">
      <w:pPr>
        <w:spacing w:line="360" w:lineRule="auto"/>
        <w:ind w:firstLineChars="200" w:firstLine="420"/>
        <w:jc w:val="center"/>
        <w:rPr>
          <w:rFonts w:ascii="仿宋" w:eastAsia="仿宋" w:hAnsi="仿宋" w:cs="仿宋"/>
          <w:color w:val="000000"/>
        </w:rPr>
      </w:pPr>
      <w:r>
        <w:rPr>
          <w:rFonts w:ascii="仿宋" w:eastAsia="仿宋" w:hAnsi="仿宋" w:cs="仿宋" w:hint="eastAsia"/>
          <w:noProof/>
          <w:color w:val="000000"/>
        </w:rPr>
        <w:drawing>
          <wp:inline distT="0" distB="0" distL="114300" distR="114300">
            <wp:extent cx="1694815" cy="1533525"/>
            <wp:effectExtent l="0" t="0" r="0"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13" cstate="print"/>
                    <a:stretch>
                      <a:fillRect/>
                    </a:stretch>
                  </pic:blipFill>
                  <pic:spPr>
                    <a:xfrm>
                      <a:off x="0" y="0"/>
                      <a:ext cx="1694815" cy="1533525"/>
                    </a:xfrm>
                    <a:prstGeom prst="rect">
                      <a:avLst/>
                    </a:prstGeom>
                    <a:noFill/>
                    <a:ln>
                      <a:noFill/>
                    </a:ln>
                  </pic:spPr>
                </pic:pic>
              </a:graphicData>
            </a:graphic>
          </wp:inline>
        </w:drawing>
      </w:r>
    </w:p>
    <w:p w:rsidR="00521531" w:rsidRDefault="00E61E69">
      <w:pPr>
        <w:spacing w:line="360" w:lineRule="auto"/>
        <w:ind w:firstLineChars="200" w:firstLine="480"/>
        <w:jc w:val="center"/>
        <w:rPr>
          <w:rFonts w:ascii="仿宋" w:eastAsia="仿宋" w:hAnsi="仿宋" w:cs="仿宋"/>
          <w:color w:val="000000"/>
          <w:sz w:val="24"/>
          <w:szCs w:val="30"/>
        </w:rPr>
      </w:pPr>
      <w:r>
        <w:rPr>
          <w:rFonts w:ascii="仿宋" w:eastAsia="仿宋" w:hAnsi="仿宋" w:cs="仿宋" w:hint="eastAsia"/>
          <w:color w:val="000000"/>
          <w:sz w:val="24"/>
          <w:szCs w:val="30"/>
        </w:rPr>
        <w:t>图3工件模型及装配成品示例（实际作业对象以现场为准）</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lastRenderedPageBreak/>
        <w:t>（一）竞赛平台的功能和组成</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30"/>
        </w:rPr>
        <w:t>该实训平台主要由6关节型关节机器人单元、AGV移动机器人、智能视觉统检测识别单元、码垛机器人智能仓储单元、工件流水线单元、装配流水线单元以及主控系统单元组成。</w:t>
      </w:r>
    </w:p>
    <w:p w:rsidR="00521531" w:rsidRDefault="00E61E69">
      <w:pPr>
        <w:spacing w:line="560" w:lineRule="exact"/>
        <w:ind w:firstLineChars="200" w:firstLine="560"/>
        <w:rPr>
          <w:rFonts w:ascii="仿宋" w:eastAsia="仿宋" w:hAnsi="仿宋" w:cs="仿宋"/>
          <w:color w:val="000000"/>
          <w:sz w:val="28"/>
          <w:szCs w:val="30"/>
        </w:rPr>
      </w:pPr>
      <w:r>
        <w:rPr>
          <w:rFonts w:ascii="仿宋" w:eastAsia="仿宋" w:hAnsi="仿宋" w:cs="仿宋" w:hint="eastAsia"/>
          <w:color w:val="000000"/>
          <w:sz w:val="28"/>
          <w:szCs w:val="30"/>
        </w:rPr>
        <w:t>1.六轴关节型工业机器人单元</w:t>
      </w:r>
    </w:p>
    <w:p w:rsidR="00521531" w:rsidRDefault="00E61E69">
      <w:pPr>
        <w:spacing w:line="560" w:lineRule="exact"/>
        <w:ind w:firstLineChars="200" w:firstLine="560"/>
        <w:rPr>
          <w:rFonts w:ascii="仿宋" w:eastAsia="仿宋" w:hAnsi="仿宋" w:cs="仿宋"/>
          <w:color w:val="000000"/>
          <w:sz w:val="28"/>
          <w:szCs w:val="30"/>
        </w:rPr>
      </w:pPr>
      <w:r>
        <w:rPr>
          <w:rFonts w:ascii="仿宋" w:eastAsia="仿宋" w:hAnsi="仿宋" w:cs="仿宋" w:hint="eastAsia"/>
          <w:color w:val="000000"/>
          <w:sz w:val="28"/>
          <w:szCs w:val="30"/>
        </w:rPr>
        <w:t>工业机器人技术参数如表2所示。6轴关节型机器人额定负荷大于16KG，臂展大于1.7m。机器人第六轴安装有气动真空吸盘和气动三爪卡盘。主控系统通过以太网通信方式控制机器人从空托盘库抓取空托盘放置于装配</w:t>
      </w:r>
      <w:r>
        <w:rPr>
          <w:rFonts w:ascii="仿宋" w:eastAsia="仿宋" w:hAnsi="仿宋" w:cs="仿宋" w:hint="eastAsia"/>
          <w:color w:val="000000"/>
          <w:sz w:val="28"/>
          <w:szCs w:val="28"/>
        </w:rPr>
        <w:t>流水线</w:t>
      </w:r>
      <w:r>
        <w:rPr>
          <w:rFonts w:ascii="仿宋" w:eastAsia="仿宋" w:hAnsi="仿宋" w:cs="仿宋" w:hint="eastAsia"/>
          <w:color w:val="000000"/>
          <w:sz w:val="28"/>
          <w:szCs w:val="30"/>
        </w:rPr>
        <w:t>装配工位，并根据装配任务要求，从智能视觉检测分拣工位抓取工件按要求放置装配流水线装配工位托盘中。图5所示为6轴关节型机器人本体与末端执行工具。</w:t>
      </w:r>
    </w:p>
    <w:p w:rsidR="00521531" w:rsidRDefault="00E61E69">
      <w:pPr>
        <w:jc w:val="center"/>
        <w:rPr>
          <w:rFonts w:ascii="仿宋" w:eastAsia="仿宋" w:hAnsi="仿宋" w:cs="仿宋"/>
          <w:color w:val="000000"/>
          <w:sz w:val="30"/>
          <w:szCs w:val="30"/>
        </w:rPr>
      </w:pPr>
      <w:r>
        <w:rPr>
          <w:rFonts w:ascii="仿宋" w:eastAsia="仿宋" w:hAnsi="仿宋" w:cs="仿宋" w:hint="eastAsia"/>
          <w:color w:val="000000"/>
          <w:sz w:val="30"/>
          <w:szCs w:val="30"/>
        </w:rPr>
        <w:t xml:space="preserve">   </w:t>
      </w:r>
      <w:r>
        <w:rPr>
          <w:rFonts w:ascii="仿宋" w:eastAsia="仿宋" w:hAnsi="仿宋" w:cs="仿宋" w:hint="eastAsia"/>
          <w:noProof/>
        </w:rPr>
        <w:drawing>
          <wp:inline distT="0" distB="0" distL="114300" distR="114300">
            <wp:extent cx="5514975" cy="2066925"/>
            <wp:effectExtent l="0" t="0" r="9525" b="952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4" cstate="print"/>
                    <a:stretch>
                      <a:fillRect/>
                    </a:stretch>
                  </pic:blipFill>
                  <pic:spPr>
                    <a:xfrm>
                      <a:off x="0" y="0"/>
                      <a:ext cx="5514975" cy="2066925"/>
                    </a:xfrm>
                    <a:prstGeom prst="rect">
                      <a:avLst/>
                    </a:prstGeom>
                    <a:noFill/>
                    <a:ln>
                      <a:noFill/>
                    </a:ln>
                  </pic:spPr>
                </pic:pic>
              </a:graphicData>
            </a:graphic>
          </wp:inline>
        </w:drawing>
      </w:r>
    </w:p>
    <w:p w:rsidR="00521531" w:rsidRDefault="00E61E69">
      <w:pPr>
        <w:jc w:val="center"/>
        <w:rPr>
          <w:rFonts w:ascii="仿宋" w:eastAsia="仿宋" w:hAnsi="仿宋" w:cs="仿宋"/>
          <w:color w:val="000000"/>
          <w:sz w:val="24"/>
          <w:szCs w:val="28"/>
        </w:rPr>
      </w:pPr>
      <w:r>
        <w:rPr>
          <w:rFonts w:ascii="仿宋" w:eastAsia="仿宋" w:hAnsi="仿宋" w:cs="仿宋" w:hint="eastAsia"/>
          <w:color w:val="000000"/>
          <w:sz w:val="24"/>
          <w:szCs w:val="28"/>
        </w:rPr>
        <w:t xml:space="preserve">     图4末端执行器安装方式</w:t>
      </w:r>
    </w:p>
    <w:p w:rsidR="00521531" w:rsidRDefault="00E61E69">
      <w:pPr>
        <w:spacing w:line="480" w:lineRule="exact"/>
        <w:jc w:val="center"/>
        <w:rPr>
          <w:rFonts w:ascii="仿宋" w:eastAsia="仿宋" w:hAnsi="仿宋" w:cs="仿宋"/>
          <w:color w:val="000000"/>
          <w:sz w:val="24"/>
          <w:szCs w:val="28"/>
        </w:rPr>
      </w:pPr>
      <w:r>
        <w:rPr>
          <w:rFonts w:ascii="仿宋" w:eastAsia="仿宋" w:hAnsi="仿宋" w:cs="仿宋" w:hint="eastAsia"/>
          <w:color w:val="000000"/>
          <w:sz w:val="24"/>
          <w:szCs w:val="28"/>
        </w:rPr>
        <w:t>表1 工业机器人参数</w:t>
      </w:r>
    </w:p>
    <w:tbl>
      <w:tblPr>
        <w:tblW w:w="8336" w:type="dxa"/>
        <w:tblLayout w:type="fixed"/>
        <w:tblCellMar>
          <w:top w:w="15" w:type="dxa"/>
          <w:left w:w="15" w:type="dxa"/>
          <w:bottom w:w="15" w:type="dxa"/>
          <w:right w:w="15" w:type="dxa"/>
        </w:tblCellMar>
        <w:tblLook w:val="04A0" w:firstRow="1" w:lastRow="0" w:firstColumn="1" w:lastColumn="0" w:noHBand="0" w:noVBand="1"/>
      </w:tblPr>
      <w:tblGrid>
        <w:gridCol w:w="1264"/>
        <w:gridCol w:w="2913"/>
        <w:gridCol w:w="4159"/>
      </w:tblGrid>
      <w:tr w:rsidR="00521531">
        <w:trPr>
          <w:trHeight w:val="28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结构形式</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6轴</w:t>
            </w:r>
            <w:r>
              <w:rPr>
                <w:rStyle w:val="font11"/>
                <w:rFonts w:hint="default"/>
              </w:rPr>
              <w:t>串联机器人</w:t>
            </w:r>
          </w:p>
        </w:tc>
      </w:tr>
      <w:tr w:rsidR="00521531">
        <w:trPr>
          <w:trHeight w:val="28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负载能力</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≥16KG</w:t>
            </w:r>
          </w:p>
        </w:tc>
      </w:tr>
      <w:tr w:rsidR="00521531">
        <w:trPr>
          <w:trHeight w:val="28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驱动方式</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全伺服电机驱动</w:t>
            </w:r>
          </w:p>
        </w:tc>
      </w:tr>
      <w:tr w:rsidR="00521531">
        <w:trPr>
          <w:trHeight w:val="31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重复定位精度</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±0.0</w:t>
            </w:r>
            <w:r>
              <w:rPr>
                <w:rStyle w:val="font11"/>
                <w:rFonts w:hint="default"/>
              </w:rPr>
              <w:t>6mm</w:t>
            </w:r>
          </w:p>
        </w:tc>
      </w:tr>
      <w:tr w:rsidR="00521531">
        <w:trPr>
          <w:trHeight w:val="330"/>
        </w:trPr>
        <w:tc>
          <w:tcPr>
            <w:tcW w:w="1264" w:type="dxa"/>
            <w:vMerge w:val="restart"/>
            <w:tcBorders>
              <w:top w:val="single" w:sz="4" w:space="0" w:color="000000"/>
              <w:left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每轴最大运</w:t>
            </w:r>
            <w:r>
              <w:rPr>
                <w:rStyle w:val="font11"/>
                <w:rFonts w:hint="default"/>
              </w:rPr>
              <w:t xml:space="preserve"> 动范围</w:t>
            </w: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1</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w:t>
            </w:r>
            <w:r>
              <w:rPr>
                <w:rStyle w:val="font11"/>
                <w:rFonts w:hint="default"/>
              </w:rPr>
              <w:t>155°</w:t>
            </w:r>
          </w:p>
        </w:tc>
      </w:tr>
      <w:tr w:rsidR="00521531">
        <w:trPr>
          <w:trHeight w:val="325"/>
        </w:trPr>
        <w:tc>
          <w:tcPr>
            <w:tcW w:w="1264" w:type="dxa"/>
            <w:vMerge/>
            <w:tcBorders>
              <w:left w:val="single" w:sz="4" w:space="0" w:color="000000"/>
              <w:right w:val="single" w:sz="4" w:space="0" w:color="000000"/>
            </w:tcBorders>
            <w:shd w:val="clear" w:color="auto" w:fill="FFFFFF"/>
          </w:tcPr>
          <w:p w:rsidR="00521531" w:rsidRDefault="00521531">
            <w:pPr>
              <w:rPr>
                <w:rFonts w:ascii="仿宋" w:eastAsia="仿宋" w:hAnsi="仿宋" w:cs="仿宋"/>
                <w:color w:val="000000"/>
                <w:szCs w:val="21"/>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2</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65°～-1</w:t>
            </w:r>
            <w:r>
              <w:rPr>
                <w:rStyle w:val="font11"/>
                <w:rFonts w:hint="default"/>
              </w:rPr>
              <w:t>75°</w:t>
            </w:r>
          </w:p>
        </w:tc>
      </w:tr>
      <w:tr w:rsidR="00521531">
        <w:trPr>
          <w:trHeight w:val="325"/>
        </w:trPr>
        <w:tc>
          <w:tcPr>
            <w:tcW w:w="1264" w:type="dxa"/>
            <w:vMerge/>
            <w:tcBorders>
              <w:left w:val="single" w:sz="4" w:space="0" w:color="000000"/>
              <w:right w:val="single" w:sz="4" w:space="0" w:color="000000"/>
            </w:tcBorders>
            <w:shd w:val="clear" w:color="auto" w:fill="FFFFFF"/>
          </w:tcPr>
          <w:p w:rsidR="00521531" w:rsidRDefault="00521531">
            <w:pPr>
              <w:rPr>
                <w:rFonts w:ascii="仿宋" w:eastAsia="仿宋" w:hAnsi="仿宋" w:cs="仿宋"/>
                <w:color w:val="000000"/>
                <w:szCs w:val="21"/>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3</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75°～40</w:t>
            </w:r>
            <w:r>
              <w:rPr>
                <w:rStyle w:val="font11"/>
                <w:rFonts w:hint="default"/>
              </w:rPr>
              <w:t>°</w:t>
            </w:r>
          </w:p>
        </w:tc>
      </w:tr>
      <w:tr w:rsidR="00521531">
        <w:trPr>
          <w:trHeight w:val="335"/>
        </w:trPr>
        <w:tc>
          <w:tcPr>
            <w:tcW w:w="1264" w:type="dxa"/>
            <w:vMerge/>
            <w:tcBorders>
              <w:left w:val="single" w:sz="4" w:space="0" w:color="000000"/>
              <w:right w:val="single" w:sz="4" w:space="0" w:color="000000"/>
            </w:tcBorders>
            <w:shd w:val="clear" w:color="auto" w:fill="FFFFFF"/>
          </w:tcPr>
          <w:p w:rsidR="00521531" w:rsidRDefault="00521531">
            <w:pPr>
              <w:widowControl/>
              <w:textAlignment w:val="top"/>
              <w:rPr>
                <w:rFonts w:ascii="仿宋" w:eastAsia="仿宋" w:hAnsi="仿宋" w:cs="仿宋"/>
                <w:color w:val="000000"/>
                <w:sz w:val="24"/>
                <w:szCs w:val="24"/>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4</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±180°</w:t>
            </w:r>
          </w:p>
        </w:tc>
      </w:tr>
      <w:tr w:rsidR="00521531">
        <w:trPr>
          <w:trHeight w:val="301"/>
        </w:trPr>
        <w:tc>
          <w:tcPr>
            <w:tcW w:w="1264" w:type="dxa"/>
            <w:vMerge/>
            <w:tcBorders>
              <w:left w:val="single" w:sz="4" w:space="0" w:color="000000"/>
              <w:right w:val="single" w:sz="4" w:space="0" w:color="000000"/>
            </w:tcBorders>
            <w:shd w:val="clear" w:color="auto" w:fill="FFFFFF"/>
            <w:vAlign w:val="center"/>
          </w:tcPr>
          <w:p w:rsidR="00521531" w:rsidRDefault="00521531">
            <w:pPr>
              <w:rPr>
                <w:rFonts w:ascii="仿宋" w:eastAsia="仿宋" w:hAnsi="仿宋" w:cs="仿宋"/>
                <w:color w:val="000000"/>
                <w:sz w:val="22"/>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5</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w:t>
            </w:r>
            <w:r>
              <w:rPr>
                <w:rStyle w:val="font11"/>
                <w:rFonts w:hint="default"/>
              </w:rPr>
              <w:t>25°</w:t>
            </w:r>
          </w:p>
        </w:tc>
      </w:tr>
      <w:tr w:rsidR="00521531">
        <w:trPr>
          <w:trHeight w:val="301"/>
        </w:trPr>
        <w:tc>
          <w:tcPr>
            <w:tcW w:w="1264" w:type="dxa"/>
            <w:vMerge/>
            <w:tcBorders>
              <w:left w:val="single" w:sz="4" w:space="0" w:color="000000"/>
              <w:bottom w:val="single" w:sz="4" w:space="0" w:color="000000"/>
              <w:right w:val="single" w:sz="4" w:space="0" w:color="000000"/>
            </w:tcBorders>
            <w:shd w:val="clear" w:color="auto" w:fill="FFFFFF"/>
            <w:vAlign w:val="center"/>
          </w:tcPr>
          <w:p w:rsidR="00521531" w:rsidRDefault="00521531">
            <w:pPr>
              <w:rPr>
                <w:rFonts w:ascii="仿宋" w:eastAsia="仿宋" w:hAnsi="仿宋" w:cs="仿宋"/>
                <w:color w:val="000000"/>
                <w:sz w:val="22"/>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6</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±360°</w:t>
            </w:r>
          </w:p>
        </w:tc>
      </w:tr>
      <w:tr w:rsidR="00521531">
        <w:trPr>
          <w:trHeight w:val="301"/>
        </w:trPr>
        <w:tc>
          <w:tcPr>
            <w:tcW w:w="1264" w:type="dxa"/>
            <w:vMerge w:val="restart"/>
            <w:tcBorders>
              <w:top w:val="single" w:sz="4" w:space="0" w:color="000000"/>
              <w:left w:val="single" w:sz="4" w:space="0" w:color="000000"/>
              <w:right w:val="single" w:sz="4" w:space="0" w:color="000000"/>
            </w:tcBorders>
            <w:shd w:val="clear" w:color="auto" w:fill="FFFFFF"/>
          </w:tcPr>
          <w:p w:rsidR="00521531" w:rsidRDefault="00E61E69">
            <w:pPr>
              <w:widowControl/>
              <w:jc w:val="left"/>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每</w:t>
            </w:r>
            <w:r>
              <w:rPr>
                <w:rStyle w:val="font11"/>
                <w:rFonts w:hint="default"/>
              </w:rPr>
              <w:t>轴最大运动速度</w:t>
            </w: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1</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170°/S</w:t>
            </w:r>
          </w:p>
        </w:tc>
      </w:tr>
      <w:tr w:rsidR="00521531">
        <w:trPr>
          <w:trHeight w:val="301"/>
        </w:trPr>
        <w:tc>
          <w:tcPr>
            <w:tcW w:w="1264" w:type="dxa"/>
            <w:vMerge/>
            <w:tcBorders>
              <w:left w:val="single" w:sz="4" w:space="0" w:color="000000"/>
              <w:right w:val="single" w:sz="4" w:space="0" w:color="000000"/>
            </w:tcBorders>
            <w:shd w:val="clear" w:color="auto" w:fill="FFFFFF"/>
          </w:tcPr>
          <w:p w:rsidR="00521531" w:rsidRDefault="00521531">
            <w:pPr>
              <w:rPr>
                <w:rFonts w:ascii="仿宋" w:eastAsia="仿宋" w:hAnsi="仿宋" w:cs="仿宋"/>
                <w:color w:val="000000"/>
                <w:szCs w:val="21"/>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2</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65°/S</w:t>
            </w:r>
          </w:p>
        </w:tc>
      </w:tr>
      <w:tr w:rsidR="00521531">
        <w:trPr>
          <w:trHeight w:val="301"/>
        </w:trPr>
        <w:tc>
          <w:tcPr>
            <w:tcW w:w="1264" w:type="dxa"/>
            <w:vMerge/>
            <w:tcBorders>
              <w:left w:val="single" w:sz="4" w:space="0" w:color="000000"/>
              <w:right w:val="single" w:sz="4" w:space="0" w:color="000000"/>
            </w:tcBorders>
            <w:shd w:val="clear" w:color="auto" w:fill="FFFFFF"/>
          </w:tcPr>
          <w:p w:rsidR="00521531" w:rsidRDefault="00521531">
            <w:pPr>
              <w:rPr>
                <w:rFonts w:ascii="仿宋" w:eastAsia="仿宋" w:hAnsi="仿宋" w:cs="仿宋"/>
                <w:color w:val="000000"/>
                <w:szCs w:val="21"/>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3</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170°/S</w:t>
            </w:r>
          </w:p>
        </w:tc>
      </w:tr>
      <w:tr w:rsidR="00521531">
        <w:trPr>
          <w:trHeight w:val="280"/>
        </w:trPr>
        <w:tc>
          <w:tcPr>
            <w:tcW w:w="1264" w:type="dxa"/>
            <w:vMerge/>
            <w:tcBorders>
              <w:left w:val="single" w:sz="4" w:space="0" w:color="000000"/>
              <w:right w:val="single" w:sz="4" w:space="0" w:color="000000"/>
            </w:tcBorders>
            <w:shd w:val="clear" w:color="auto" w:fill="FFFFFF"/>
          </w:tcPr>
          <w:p w:rsidR="00521531" w:rsidRDefault="00521531">
            <w:pPr>
              <w:widowControl/>
              <w:textAlignment w:val="top"/>
              <w:rPr>
                <w:rFonts w:ascii="仿宋" w:eastAsia="仿宋" w:hAnsi="仿宋" w:cs="仿宋"/>
                <w:color w:val="000000"/>
                <w:sz w:val="24"/>
                <w:szCs w:val="24"/>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4</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297°/S</w:t>
            </w:r>
          </w:p>
        </w:tc>
      </w:tr>
      <w:tr w:rsidR="00521531">
        <w:trPr>
          <w:trHeight w:val="301"/>
        </w:trPr>
        <w:tc>
          <w:tcPr>
            <w:tcW w:w="1264" w:type="dxa"/>
            <w:vMerge/>
            <w:tcBorders>
              <w:left w:val="single" w:sz="4" w:space="0" w:color="000000"/>
              <w:right w:val="single" w:sz="4" w:space="0" w:color="000000"/>
            </w:tcBorders>
            <w:shd w:val="clear" w:color="auto" w:fill="FFFFFF"/>
            <w:vAlign w:val="center"/>
          </w:tcPr>
          <w:p w:rsidR="00521531" w:rsidRDefault="00521531">
            <w:pPr>
              <w:rPr>
                <w:rFonts w:ascii="仿宋" w:eastAsia="仿宋" w:hAnsi="仿宋" w:cs="仿宋"/>
                <w:color w:val="000000"/>
                <w:sz w:val="22"/>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5</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297°/S</w:t>
            </w:r>
          </w:p>
        </w:tc>
      </w:tr>
      <w:tr w:rsidR="00521531">
        <w:trPr>
          <w:trHeight w:val="301"/>
        </w:trPr>
        <w:tc>
          <w:tcPr>
            <w:tcW w:w="1264" w:type="dxa"/>
            <w:vMerge/>
            <w:tcBorders>
              <w:left w:val="single" w:sz="4" w:space="0" w:color="000000"/>
              <w:bottom w:val="single" w:sz="4" w:space="0" w:color="000000"/>
              <w:right w:val="single" w:sz="4" w:space="0" w:color="000000"/>
            </w:tcBorders>
            <w:shd w:val="clear" w:color="auto" w:fill="FFFFFF"/>
            <w:vAlign w:val="center"/>
          </w:tcPr>
          <w:p w:rsidR="00521531" w:rsidRDefault="00521531">
            <w:pPr>
              <w:rPr>
                <w:rFonts w:ascii="仿宋" w:eastAsia="仿宋" w:hAnsi="仿宋" w:cs="仿宋"/>
                <w:color w:val="000000"/>
                <w:sz w:val="22"/>
              </w:rPr>
            </w:pPr>
          </w:p>
        </w:tc>
        <w:tc>
          <w:tcPr>
            <w:tcW w:w="2913"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关节</w:t>
            </w:r>
            <w:r>
              <w:rPr>
                <w:rStyle w:val="font11"/>
                <w:rFonts w:hint="default"/>
              </w:rPr>
              <w:t xml:space="preserve"> 6</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375°/S</w:t>
            </w:r>
          </w:p>
        </w:tc>
      </w:tr>
      <w:tr w:rsidR="00521531">
        <w:trPr>
          <w:trHeight w:val="28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最大展开半径</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≥1700mm</w:t>
            </w:r>
          </w:p>
        </w:tc>
      </w:tr>
      <w:tr w:rsidR="00521531">
        <w:trPr>
          <w:trHeight w:val="301"/>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通信方式</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MODBUS</w:t>
            </w:r>
            <w:r>
              <w:rPr>
                <w:rStyle w:val="font11"/>
                <w:rFonts w:hint="default"/>
              </w:rPr>
              <w:t xml:space="preserve"> TCP/IP</w:t>
            </w:r>
          </w:p>
        </w:tc>
      </w:tr>
      <w:tr w:rsidR="00521531">
        <w:trPr>
          <w:trHeight w:val="286"/>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操作方式</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示教再现/编程</w:t>
            </w:r>
          </w:p>
        </w:tc>
      </w:tr>
      <w:tr w:rsidR="00521531">
        <w:trPr>
          <w:trHeight w:val="330"/>
        </w:trPr>
        <w:tc>
          <w:tcPr>
            <w:tcW w:w="4177" w:type="dxa"/>
            <w:gridSpan w:val="2"/>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供电电源</w:t>
            </w:r>
          </w:p>
        </w:tc>
        <w:tc>
          <w:tcPr>
            <w:tcW w:w="4159" w:type="dxa"/>
            <w:tcBorders>
              <w:top w:val="single" w:sz="4" w:space="0" w:color="000000"/>
              <w:left w:val="single" w:sz="4" w:space="0" w:color="000000"/>
              <w:bottom w:val="single" w:sz="4" w:space="0" w:color="000000"/>
              <w:right w:val="single" w:sz="4" w:space="0" w:color="000000"/>
            </w:tcBorders>
            <w:shd w:val="clear" w:color="auto" w:fill="FFFFFF"/>
          </w:tcPr>
          <w:p w:rsidR="00521531" w:rsidRDefault="00E61E69">
            <w:pPr>
              <w:widowControl/>
              <w:textAlignment w:val="top"/>
              <w:rPr>
                <w:rFonts w:ascii="仿宋" w:eastAsia="仿宋" w:hAnsi="仿宋" w:cs="仿宋"/>
                <w:color w:val="000000"/>
                <w:sz w:val="24"/>
                <w:szCs w:val="24"/>
              </w:rPr>
            </w:pPr>
            <w:r>
              <w:rPr>
                <w:rFonts w:ascii="仿宋" w:eastAsia="仿宋" w:hAnsi="仿宋" w:cs="仿宋" w:hint="eastAsia"/>
                <w:color w:val="000000"/>
                <w:kern w:val="0"/>
                <w:sz w:val="24"/>
                <w:szCs w:val="24"/>
              </w:rPr>
              <w:t>三相</w:t>
            </w:r>
            <w:r>
              <w:rPr>
                <w:rStyle w:val="font11"/>
                <w:rFonts w:hint="default"/>
              </w:rPr>
              <w:t xml:space="preserve"> 380V、50Hz、5KW</w:t>
            </w:r>
          </w:p>
        </w:tc>
      </w:tr>
    </w:tbl>
    <w:p w:rsidR="00521531" w:rsidRDefault="00521531">
      <w:pPr>
        <w:spacing w:line="480" w:lineRule="exact"/>
        <w:rPr>
          <w:rFonts w:ascii="仿宋" w:eastAsia="仿宋" w:hAnsi="仿宋" w:cs="仿宋"/>
          <w:color w:val="000000"/>
          <w:sz w:val="24"/>
          <w:szCs w:val="28"/>
        </w:rPr>
      </w:pP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HSR-JR620L工业机器人示教器采用方形示教器，如图5所示。</w:t>
      </w:r>
    </w:p>
    <w:p w:rsidR="00521531" w:rsidRDefault="00E61E69">
      <w:pPr>
        <w:spacing w:line="360" w:lineRule="auto"/>
        <w:jc w:val="center"/>
        <w:rPr>
          <w:rFonts w:ascii="仿宋" w:eastAsia="仿宋" w:hAnsi="仿宋" w:cs="仿宋"/>
          <w:color w:val="000000"/>
        </w:rPr>
      </w:pPr>
      <w:r>
        <w:rPr>
          <w:rFonts w:ascii="仿宋" w:eastAsia="仿宋" w:hAnsi="仿宋" w:cs="仿宋" w:hint="eastAsia"/>
          <w:noProof/>
          <w:color w:val="000000"/>
        </w:rPr>
        <w:drawing>
          <wp:inline distT="0" distB="0" distL="114300" distR="114300">
            <wp:extent cx="1402080" cy="1871345"/>
            <wp:effectExtent l="19050" t="0" r="7246" b="0"/>
            <wp:docPr id="7" name="图片 7" descr="9b5e303a0dc8f14de74c6e7d4a71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b5e303a0dc8f14de74c6e7d4a71cbc"/>
                    <pic:cNvPicPr>
                      <a:picLocks noChangeAspect="1"/>
                    </pic:cNvPicPr>
                  </pic:nvPicPr>
                  <pic:blipFill>
                    <a:blip r:embed="rId15" cstate="print"/>
                    <a:stretch>
                      <a:fillRect/>
                    </a:stretch>
                  </pic:blipFill>
                  <pic:spPr>
                    <a:xfrm>
                      <a:off x="0" y="0"/>
                      <a:ext cx="1402655" cy="1871663"/>
                    </a:xfrm>
                    <a:prstGeom prst="rect">
                      <a:avLst/>
                    </a:prstGeom>
                  </pic:spPr>
                </pic:pic>
              </a:graphicData>
            </a:graphic>
          </wp:inline>
        </w:drawing>
      </w:r>
    </w:p>
    <w:p w:rsidR="00521531" w:rsidRDefault="00E61E69">
      <w:pPr>
        <w:spacing w:line="360" w:lineRule="auto"/>
        <w:jc w:val="center"/>
        <w:rPr>
          <w:rFonts w:ascii="仿宋" w:eastAsia="仿宋" w:hAnsi="仿宋" w:cs="仿宋"/>
          <w:b/>
          <w:color w:val="000000"/>
          <w:sz w:val="22"/>
        </w:rPr>
      </w:pPr>
      <w:r>
        <w:rPr>
          <w:rFonts w:ascii="仿宋" w:eastAsia="仿宋" w:hAnsi="仿宋" w:cs="仿宋" w:hint="eastAsia"/>
          <w:color w:val="000000"/>
          <w:sz w:val="24"/>
          <w:szCs w:val="28"/>
        </w:rPr>
        <w:t>图5工业机器人示教器</w:t>
      </w:r>
    </w:p>
    <w:p w:rsidR="00521531" w:rsidRDefault="00E61E69">
      <w:pPr>
        <w:spacing w:line="360" w:lineRule="auto"/>
        <w:ind w:firstLineChars="200" w:firstLine="560"/>
        <w:rPr>
          <w:rFonts w:ascii="仿宋" w:eastAsia="仿宋" w:hAnsi="仿宋" w:cs="仿宋"/>
          <w:color w:val="000000"/>
          <w:sz w:val="28"/>
          <w:szCs w:val="30"/>
        </w:rPr>
      </w:pPr>
      <w:r>
        <w:rPr>
          <w:rFonts w:ascii="仿宋" w:eastAsia="仿宋" w:hAnsi="仿宋" w:cs="仿宋" w:hint="eastAsia"/>
          <w:color w:val="000000"/>
          <w:sz w:val="28"/>
          <w:szCs w:val="30"/>
        </w:rPr>
        <w:t>工业机器人末端夹具由气动三爪卡盘和双吸盘组成，气动三爪卡盘用于抓取工件1，双吸盘用于吸取工件2、3、4和空托盘。</w:t>
      </w:r>
    </w:p>
    <w:p w:rsidR="00521531" w:rsidRDefault="00E61E69">
      <w:pPr>
        <w:spacing w:line="360" w:lineRule="auto"/>
        <w:ind w:firstLineChars="200" w:firstLine="560"/>
        <w:rPr>
          <w:rFonts w:ascii="仿宋" w:eastAsia="仿宋" w:hAnsi="仿宋" w:cs="仿宋"/>
          <w:color w:val="000000"/>
        </w:rPr>
      </w:pPr>
      <w:r>
        <w:rPr>
          <w:rFonts w:ascii="仿宋" w:eastAsia="仿宋" w:hAnsi="仿宋" w:cs="仿宋" w:hint="eastAsia"/>
          <w:color w:val="000000"/>
          <w:sz w:val="28"/>
          <w:szCs w:val="30"/>
        </w:rPr>
        <w:t>工业机器人系统配有用于标定双吸盘工具坐标系的标定尖针，分为活动端标定尖针与固定端标定尖针。活动端的标定尖针安装在机器人双吸盘的连接杆上，固定端的尖针则安装在装配流水线的备料库中间的M8螺纹孔中。</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机器人末端工具的气路：其中一路Φ6的气管用于驱动真空吸盘，另两路Φ6则连接到三爪卡盘上，机器人三关节的盖板有一路Φ10的</w:t>
      </w:r>
      <w:r>
        <w:rPr>
          <w:rFonts w:ascii="仿宋" w:eastAsia="仿宋" w:hAnsi="仿宋" w:cs="仿宋" w:hint="eastAsia"/>
          <w:color w:val="000000"/>
          <w:sz w:val="28"/>
          <w:szCs w:val="28"/>
        </w:rPr>
        <w:lastRenderedPageBreak/>
        <w:t>通孔，用于安装Φ8的隔板直通。</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驱动真空吸和三爪卡盘的电磁阀为两位五通阀。如图6所示。</w:t>
      </w:r>
    </w:p>
    <w:p w:rsidR="00521531" w:rsidRDefault="00E61E69">
      <w:pPr>
        <w:spacing w:line="360" w:lineRule="auto"/>
        <w:ind w:firstLineChars="200" w:firstLine="420"/>
        <w:jc w:val="center"/>
        <w:rPr>
          <w:rFonts w:ascii="仿宋" w:eastAsia="仿宋" w:hAnsi="仿宋" w:cs="仿宋"/>
          <w:color w:val="000000"/>
          <w:sz w:val="24"/>
        </w:rPr>
      </w:pPr>
      <w:r>
        <w:rPr>
          <w:rFonts w:ascii="仿宋" w:eastAsia="仿宋" w:hAnsi="仿宋" w:cs="仿宋" w:hint="eastAsia"/>
          <w:noProof/>
          <w:color w:val="000000"/>
        </w:rPr>
        <w:drawing>
          <wp:inline distT="0" distB="0" distL="114300" distR="114300">
            <wp:extent cx="1839595" cy="1489710"/>
            <wp:effectExtent l="19050" t="0" r="7830" b="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16" cstate="print"/>
                    <a:stretch>
                      <a:fillRect/>
                    </a:stretch>
                  </pic:blipFill>
                  <pic:spPr>
                    <a:xfrm>
                      <a:off x="0" y="0"/>
                      <a:ext cx="1842490" cy="1492032"/>
                    </a:xfrm>
                    <a:prstGeom prst="rect">
                      <a:avLst/>
                    </a:prstGeom>
                    <a:noFill/>
                    <a:ln>
                      <a:noFill/>
                    </a:ln>
                  </pic:spPr>
                </pic:pic>
              </a:graphicData>
            </a:graphic>
          </wp:inline>
        </w:drawing>
      </w:r>
    </w:p>
    <w:p w:rsidR="00521531" w:rsidRDefault="00E61E69">
      <w:pPr>
        <w:spacing w:line="560" w:lineRule="exact"/>
        <w:ind w:firstLineChars="200" w:firstLine="480"/>
        <w:jc w:val="center"/>
        <w:rPr>
          <w:rFonts w:ascii="仿宋" w:eastAsia="仿宋" w:hAnsi="仿宋" w:cs="仿宋"/>
          <w:color w:val="000000"/>
          <w:sz w:val="28"/>
          <w:szCs w:val="28"/>
        </w:rPr>
      </w:pPr>
      <w:r>
        <w:rPr>
          <w:rFonts w:ascii="仿宋" w:eastAsia="仿宋" w:hAnsi="仿宋" w:cs="仿宋" w:hint="eastAsia"/>
          <w:color w:val="000000"/>
          <w:sz w:val="24"/>
          <w:szCs w:val="28"/>
        </w:rPr>
        <w:t>图6两位五通阀连接效果图</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2.码垛机器人智能仓储单元</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码垛机器人智能仓储单元主要实现对各种物料、工件的智能存取。根据生产需要，选取相关的工件，传输到AGV，或者将AGV搬运过来的成品件、套件等进行分类入库。</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立体仓库包含28个仓位，每一仓位具有空位检测开关。</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码垛机X轴方向的运动采用蜗轮减速装置，具有一定的自锁性， X轴、Z轴的驱动电机还带有刹车装置，保证机器断电后立即停车。X轴和Y轴运动都带有防撞装置，X、Y、Z轴均采用变频控制。</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基础底板由型材和钢板组成，码垛机和货架都直接安装在底板上，码垛机、立体库和底板组成了一个相对独立的整体。底板用8个避震脚支撑在地面上。</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3.AGV运料系统</w:t>
      </w:r>
    </w:p>
    <w:p w:rsidR="00521531" w:rsidRDefault="00E61E69">
      <w:pPr>
        <w:spacing w:line="560" w:lineRule="exact"/>
        <w:ind w:firstLineChars="200" w:firstLine="560"/>
        <w:jc w:val="left"/>
        <w:rPr>
          <w:rFonts w:ascii="仿宋" w:eastAsia="仿宋" w:hAnsi="仿宋" w:cs="仿宋"/>
          <w:color w:val="000000"/>
          <w:sz w:val="28"/>
          <w:szCs w:val="28"/>
        </w:rPr>
      </w:pPr>
      <w:r>
        <w:rPr>
          <w:rFonts w:ascii="仿宋" w:eastAsia="仿宋" w:hAnsi="仿宋" w:cs="仿宋" w:hint="eastAsia"/>
          <w:color w:val="000000"/>
          <w:sz w:val="28"/>
          <w:szCs w:val="28"/>
        </w:rPr>
        <w:t>AGV移动机器人主要实现成品工件、套件在工件流水线和智能仓储单元之间的转运。</w:t>
      </w:r>
    </w:p>
    <w:p w:rsidR="00521531" w:rsidRDefault="00E61E69">
      <w:pPr>
        <w:spacing w:line="560" w:lineRule="exact"/>
        <w:ind w:firstLineChars="200" w:firstLine="560"/>
        <w:jc w:val="left"/>
        <w:rPr>
          <w:rFonts w:ascii="仿宋" w:eastAsia="仿宋" w:hAnsi="仿宋" w:cs="仿宋"/>
          <w:color w:val="000000"/>
          <w:sz w:val="28"/>
          <w:szCs w:val="28"/>
        </w:rPr>
      </w:pPr>
      <w:r>
        <w:rPr>
          <w:rFonts w:ascii="仿宋" w:eastAsia="仿宋" w:hAnsi="仿宋" w:cs="仿宋" w:hint="eastAsia"/>
          <w:color w:val="000000"/>
          <w:sz w:val="28"/>
          <w:szCs w:val="28"/>
        </w:rPr>
        <w:t>AGV移动机器人系统由下部车架和上部输送装置组成。下部车架由电机、驱动轮、辅助轮、电池和框架等零件组成。2个电机带动驱动轮控制小车沿磁导运动，4个辅助轮控制小车的平衡。上部输送装</w:t>
      </w:r>
      <w:r>
        <w:rPr>
          <w:rFonts w:ascii="仿宋" w:eastAsia="仿宋" w:hAnsi="仿宋" w:cs="仿宋" w:hint="eastAsia"/>
          <w:color w:val="000000"/>
          <w:sz w:val="28"/>
          <w:szCs w:val="28"/>
        </w:rPr>
        <w:lastRenderedPageBreak/>
        <w:t>置采用皮带传动，输送带前端有电磁铁控制的阻挡机构，机身上装有HMI。AGV移动机器人实物如图7所示。</w:t>
      </w:r>
    </w:p>
    <w:p w:rsidR="00521531" w:rsidRDefault="00E61E69">
      <w:pPr>
        <w:jc w:val="center"/>
        <w:rPr>
          <w:rFonts w:ascii="仿宋" w:eastAsia="仿宋" w:hAnsi="仿宋" w:cs="仿宋"/>
          <w:color w:val="000000"/>
          <w:sz w:val="28"/>
          <w:szCs w:val="28"/>
        </w:rPr>
      </w:pPr>
      <w:r>
        <w:rPr>
          <w:rFonts w:ascii="仿宋" w:eastAsia="仿宋" w:hAnsi="仿宋" w:cs="仿宋" w:hint="eastAsia"/>
          <w:noProof/>
          <w:color w:val="FF0000"/>
          <w:szCs w:val="28"/>
        </w:rPr>
        <w:drawing>
          <wp:inline distT="0" distB="0" distL="114300" distR="114300">
            <wp:extent cx="3876040" cy="1534795"/>
            <wp:effectExtent l="0" t="0" r="10160" b="825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7" cstate="print"/>
                    <a:stretch>
                      <a:fillRect/>
                    </a:stretch>
                  </pic:blipFill>
                  <pic:spPr>
                    <a:xfrm>
                      <a:off x="0" y="0"/>
                      <a:ext cx="3876040" cy="1534795"/>
                    </a:xfrm>
                    <a:prstGeom prst="rect">
                      <a:avLst/>
                    </a:prstGeom>
                    <a:noFill/>
                    <a:ln>
                      <a:noFill/>
                    </a:ln>
                  </pic:spPr>
                </pic:pic>
              </a:graphicData>
            </a:graphic>
          </wp:inline>
        </w:drawing>
      </w:r>
    </w:p>
    <w:p w:rsidR="00521531" w:rsidRDefault="00E61E69">
      <w:pPr>
        <w:ind w:firstLineChars="200" w:firstLine="480"/>
        <w:jc w:val="center"/>
        <w:rPr>
          <w:rFonts w:ascii="仿宋" w:eastAsia="仿宋" w:hAnsi="仿宋" w:cs="仿宋"/>
          <w:color w:val="000000"/>
          <w:sz w:val="28"/>
          <w:szCs w:val="28"/>
        </w:rPr>
      </w:pPr>
      <w:r>
        <w:rPr>
          <w:rFonts w:ascii="仿宋" w:eastAsia="仿宋" w:hAnsi="仿宋" w:cs="仿宋" w:hint="eastAsia"/>
          <w:color w:val="000000"/>
          <w:sz w:val="24"/>
          <w:szCs w:val="28"/>
        </w:rPr>
        <w:t>图7  AGV移动机器人</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sz w:val="28"/>
          <w:szCs w:val="28"/>
        </w:rPr>
        <w:t>AGV主要参数规格如下：</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1）直线运行速度：18m/min</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2）弯道运行速度：10～15m/min</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3）纵向地标定位精度：±3mm</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4）横向地标定位精度：±3mm</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5）最小转弯半径：650mm</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6）额定载重：30Kg</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7）最大载重：50Kg</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8）自动导引传感器：专用磁导循迹传感器</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9）电源：电池组DC12V 36AH两组、DC24V 30AH</w:t>
      </w:r>
    </w:p>
    <w:p w:rsidR="00521531" w:rsidRDefault="00E61E69">
      <w:pPr>
        <w:spacing w:line="560" w:lineRule="exact"/>
        <w:ind w:firstLineChars="200" w:firstLine="560"/>
        <w:rPr>
          <w:rFonts w:ascii="仿宋" w:eastAsia="仿宋" w:hAnsi="仿宋" w:cs="仿宋"/>
          <w:color w:val="000000"/>
          <w:kern w:val="0"/>
          <w:sz w:val="28"/>
          <w:szCs w:val="28"/>
        </w:rPr>
      </w:pPr>
      <w:r>
        <w:rPr>
          <w:rFonts w:ascii="仿宋" w:eastAsia="仿宋" w:hAnsi="仿宋" w:cs="仿宋" w:hint="eastAsia"/>
          <w:color w:val="000000"/>
          <w:kern w:val="0"/>
          <w:sz w:val="28"/>
          <w:szCs w:val="28"/>
        </w:rPr>
        <w:t>10）充电方式：外置充电器</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kern w:val="0"/>
          <w:sz w:val="28"/>
          <w:szCs w:val="28"/>
        </w:rPr>
        <w:t>11）最大噪音：≤70db</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4.工件作业流水线</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工件作业流水线的上料由AGV移动机器人或者参赛者手工放置完成工件流水线负责把工件托盘输送到视觉检测分拣工位，经视觉系统定位识别输送到抓取工位，主控系统根据任务要求的装配顺序，控制工业机器人利用末端执行器将工件放至装配流水线的合适位置，并</w:t>
      </w:r>
      <w:r>
        <w:rPr>
          <w:rFonts w:ascii="仿宋" w:eastAsia="仿宋" w:hAnsi="仿宋" w:cs="仿宋" w:hint="eastAsia"/>
          <w:color w:val="000000"/>
          <w:sz w:val="28"/>
          <w:szCs w:val="28"/>
        </w:rPr>
        <w:lastRenderedPageBreak/>
        <w:t>将空托盘放入托盘回收仓。</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工件作业流水线由三相异步电动机驱动，采用变频器调节其转速，主要实现工件作业和流转。</w:t>
      </w:r>
    </w:p>
    <w:p w:rsidR="00521531" w:rsidRDefault="00E61E69">
      <w:pPr>
        <w:spacing w:line="360" w:lineRule="auto"/>
        <w:jc w:val="center"/>
        <w:rPr>
          <w:rFonts w:ascii="仿宋" w:eastAsia="仿宋" w:hAnsi="仿宋" w:cs="仿宋"/>
          <w:color w:val="000000"/>
          <w:sz w:val="30"/>
          <w:szCs w:val="30"/>
        </w:rPr>
      </w:pPr>
      <w:r>
        <w:rPr>
          <w:rFonts w:ascii="仿宋" w:eastAsia="仿宋" w:hAnsi="仿宋" w:cs="仿宋" w:hint="eastAsia"/>
          <w:noProof/>
          <w:color w:val="000000"/>
          <w:sz w:val="30"/>
          <w:szCs w:val="30"/>
        </w:rPr>
        <w:drawing>
          <wp:inline distT="0" distB="0" distL="114300" distR="114300">
            <wp:extent cx="4143375" cy="1828800"/>
            <wp:effectExtent l="0" t="0" r="9525" b="0"/>
            <wp:docPr id="11" name="图片 16" descr="t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tpls"/>
                    <pic:cNvPicPr>
                      <a:picLocks noChangeAspect="1"/>
                    </pic:cNvPicPr>
                  </pic:nvPicPr>
                  <pic:blipFill>
                    <a:blip r:embed="rId18" cstate="print"/>
                    <a:srcRect t="4581" r="1053" b="6712"/>
                    <a:stretch>
                      <a:fillRect/>
                    </a:stretch>
                  </pic:blipFill>
                  <pic:spPr>
                    <a:xfrm>
                      <a:off x="0" y="0"/>
                      <a:ext cx="4143375" cy="1828800"/>
                    </a:xfrm>
                    <a:prstGeom prst="rect">
                      <a:avLst/>
                    </a:prstGeom>
                    <a:noFill/>
                    <a:ln>
                      <a:noFill/>
                    </a:ln>
                  </pic:spPr>
                </pic:pic>
              </a:graphicData>
            </a:graphic>
          </wp:inline>
        </w:drawing>
      </w:r>
    </w:p>
    <w:p w:rsidR="00521531" w:rsidRDefault="00E61E69">
      <w:pPr>
        <w:spacing w:line="360" w:lineRule="auto"/>
        <w:jc w:val="center"/>
        <w:rPr>
          <w:rFonts w:ascii="仿宋" w:eastAsia="仿宋" w:hAnsi="仿宋" w:cs="仿宋"/>
          <w:color w:val="000000"/>
          <w:sz w:val="24"/>
          <w:szCs w:val="30"/>
        </w:rPr>
      </w:pPr>
      <w:r>
        <w:rPr>
          <w:rFonts w:ascii="仿宋" w:eastAsia="仿宋" w:hAnsi="仿宋" w:cs="仿宋" w:hint="eastAsia"/>
          <w:color w:val="000000"/>
          <w:sz w:val="24"/>
          <w:szCs w:val="30"/>
        </w:rPr>
        <w:t>图8 工件流水线</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5.装配作业流水线单元</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赛项平台的装配作业流水线单元流水线共有三个工位。如图9所示，分别为装配工位、备件工位及成品工位。备件工位和成品工位分别位于装配工位的两侧。当出现多个同一类型的工件时，备件工位可用于缓存待装配的工件，待装配工位完成了一个完整的装配任务后，机器人将成品放入成品工位。然后进行下一个机器人关节的装配任务。</w:t>
      </w:r>
    </w:p>
    <w:p w:rsidR="00521531" w:rsidRDefault="00E61E69">
      <w:pPr>
        <w:spacing w:line="360" w:lineRule="auto"/>
        <w:jc w:val="center"/>
        <w:rPr>
          <w:rFonts w:ascii="仿宋" w:eastAsia="仿宋" w:hAnsi="仿宋" w:cs="仿宋"/>
          <w:color w:val="000000"/>
          <w:sz w:val="24"/>
        </w:rPr>
      </w:pPr>
      <w:r>
        <w:rPr>
          <w:rFonts w:ascii="仿宋" w:eastAsia="仿宋" w:hAnsi="仿宋" w:cs="仿宋" w:hint="eastAsia"/>
          <w:noProof/>
          <w:color w:val="000000"/>
        </w:rPr>
        <w:drawing>
          <wp:inline distT="0" distB="0" distL="114300" distR="114300">
            <wp:extent cx="4711065" cy="2818130"/>
            <wp:effectExtent l="0" t="0" r="13335" b="1270"/>
            <wp:docPr id="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
                    <pic:cNvPicPr>
                      <a:picLocks noChangeAspect="1"/>
                    </pic:cNvPicPr>
                  </pic:nvPicPr>
                  <pic:blipFill>
                    <a:blip r:embed="rId19" cstate="print"/>
                    <a:stretch>
                      <a:fillRect/>
                    </a:stretch>
                  </pic:blipFill>
                  <pic:spPr>
                    <a:xfrm>
                      <a:off x="0" y="0"/>
                      <a:ext cx="4711065" cy="2818130"/>
                    </a:xfrm>
                    <a:prstGeom prst="rect">
                      <a:avLst/>
                    </a:prstGeom>
                    <a:noFill/>
                    <a:ln>
                      <a:noFill/>
                    </a:ln>
                  </pic:spPr>
                </pic:pic>
              </a:graphicData>
            </a:graphic>
          </wp:inline>
        </w:drawing>
      </w:r>
    </w:p>
    <w:p w:rsidR="00521531" w:rsidRDefault="00E61E69">
      <w:pPr>
        <w:spacing w:line="360" w:lineRule="auto"/>
        <w:jc w:val="center"/>
        <w:rPr>
          <w:rFonts w:ascii="仿宋" w:eastAsia="仿宋" w:hAnsi="仿宋" w:cs="仿宋"/>
          <w:color w:val="000000"/>
          <w:sz w:val="24"/>
          <w:szCs w:val="30"/>
        </w:rPr>
      </w:pPr>
      <w:r>
        <w:rPr>
          <w:rFonts w:ascii="仿宋" w:eastAsia="仿宋" w:hAnsi="仿宋" w:cs="仿宋" w:hint="eastAsia"/>
          <w:color w:val="000000"/>
          <w:sz w:val="24"/>
          <w:szCs w:val="30"/>
        </w:rPr>
        <w:lastRenderedPageBreak/>
        <w:t>图9 装配作业流水线</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装配工位中设置有二次定位工位。其实物图如图10所示。</w:t>
      </w:r>
    </w:p>
    <w:p w:rsidR="00521531" w:rsidRDefault="00E61E69">
      <w:pPr>
        <w:spacing w:line="360" w:lineRule="auto"/>
        <w:ind w:firstLineChars="200" w:firstLine="420"/>
        <w:jc w:val="center"/>
        <w:rPr>
          <w:rFonts w:ascii="仿宋" w:eastAsia="仿宋" w:hAnsi="仿宋" w:cs="仿宋"/>
          <w:color w:val="000000"/>
          <w:sz w:val="24"/>
        </w:rPr>
      </w:pPr>
      <w:r>
        <w:rPr>
          <w:rFonts w:ascii="仿宋" w:eastAsia="仿宋" w:hAnsi="仿宋" w:cs="仿宋" w:hint="eastAsia"/>
          <w:noProof/>
          <w:color w:val="000000"/>
        </w:rPr>
        <w:drawing>
          <wp:inline distT="0" distB="0" distL="114300" distR="114300">
            <wp:extent cx="3176270" cy="2104390"/>
            <wp:effectExtent l="0" t="0" r="5080" b="10160"/>
            <wp:docPr id="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pic:cNvPicPr>
                      <a:picLocks noChangeAspect="1"/>
                    </pic:cNvPicPr>
                  </pic:nvPicPr>
                  <pic:blipFill>
                    <a:blip r:embed="rId20" cstate="print"/>
                    <a:srcRect l="32310" t="8362" r="26001" b="9512"/>
                    <a:stretch>
                      <a:fillRect/>
                    </a:stretch>
                  </pic:blipFill>
                  <pic:spPr>
                    <a:xfrm>
                      <a:off x="0" y="0"/>
                      <a:ext cx="3176270" cy="2104390"/>
                    </a:xfrm>
                    <a:prstGeom prst="rect">
                      <a:avLst/>
                    </a:prstGeom>
                    <a:noFill/>
                    <a:ln>
                      <a:noFill/>
                    </a:ln>
                  </pic:spPr>
                </pic:pic>
              </a:graphicData>
            </a:graphic>
          </wp:inline>
        </w:drawing>
      </w:r>
    </w:p>
    <w:p w:rsidR="00521531" w:rsidRDefault="00E61E69">
      <w:pPr>
        <w:spacing w:line="360" w:lineRule="auto"/>
        <w:ind w:firstLineChars="200" w:firstLine="480"/>
        <w:jc w:val="center"/>
        <w:rPr>
          <w:rFonts w:ascii="仿宋" w:eastAsia="仿宋" w:hAnsi="仿宋" w:cs="仿宋"/>
          <w:color w:val="000000"/>
          <w:sz w:val="24"/>
          <w:szCs w:val="30"/>
        </w:rPr>
      </w:pPr>
      <w:r>
        <w:rPr>
          <w:rFonts w:ascii="仿宋" w:eastAsia="仿宋" w:hAnsi="仿宋" w:cs="仿宋" w:hint="eastAsia"/>
          <w:color w:val="000000"/>
          <w:sz w:val="24"/>
          <w:szCs w:val="30"/>
        </w:rPr>
        <w:t>图10 装配工位效果图</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装配工位控制气缸伸缩的电磁阀用汇流板连接，并安装于装配流水线的侧边的型材上。如图11所示。</w:t>
      </w:r>
    </w:p>
    <w:p w:rsidR="00521531" w:rsidRDefault="00E61E69">
      <w:pPr>
        <w:spacing w:line="360" w:lineRule="auto"/>
        <w:ind w:firstLineChars="200" w:firstLine="420"/>
        <w:jc w:val="center"/>
        <w:rPr>
          <w:rFonts w:ascii="仿宋" w:eastAsia="仿宋" w:hAnsi="仿宋" w:cs="仿宋"/>
          <w:color w:val="000000"/>
        </w:rPr>
      </w:pPr>
      <w:r>
        <w:rPr>
          <w:rFonts w:ascii="仿宋" w:eastAsia="仿宋" w:hAnsi="仿宋" w:cs="仿宋" w:hint="eastAsia"/>
          <w:noProof/>
          <w:color w:val="000000"/>
        </w:rPr>
        <w:drawing>
          <wp:inline distT="0" distB="0" distL="114300" distR="114300">
            <wp:extent cx="3438525" cy="2743200"/>
            <wp:effectExtent l="0" t="0" r="9525" b="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pic:cNvPicPr>
                  </pic:nvPicPr>
                  <pic:blipFill>
                    <a:blip r:embed="rId21" cstate="print"/>
                    <a:stretch>
                      <a:fillRect/>
                    </a:stretch>
                  </pic:blipFill>
                  <pic:spPr>
                    <a:xfrm>
                      <a:off x="0" y="0"/>
                      <a:ext cx="3438525" cy="2743200"/>
                    </a:xfrm>
                    <a:prstGeom prst="rect">
                      <a:avLst/>
                    </a:prstGeom>
                    <a:noFill/>
                    <a:ln>
                      <a:noFill/>
                    </a:ln>
                  </pic:spPr>
                </pic:pic>
              </a:graphicData>
            </a:graphic>
          </wp:inline>
        </w:drawing>
      </w:r>
    </w:p>
    <w:p w:rsidR="00521531" w:rsidRDefault="00E61E69">
      <w:pPr>
        <w:spacing w:line="360" w:lineRule="auto"/>
        <w:ind w:firstLineChars="200" w:firstLine="480"/>
        <w:jc w:val="center"/>
        <w:rPr>
          <w:rFonts w:ascii="仿宋" w:eastAsia="仿宋" w:hAnsi="仿宋" w:cs="仿宋"/>
          <w:color w:val="000000"/>
          <w:sz w:val="24"/>
          <w:szCs w:val="28"/>
        </w:rPr>
      </w:pPr>
      <w:r>
        <w:rPr>
          <w:rFonts w:ascii="仿宋" w:eastAsia="仿宋" w:hAnsi="仿宋" w:cs="仿宋" w:hint="eastAsia"/>
          <w:color w:val="000000"/>
          <w:sz w:val="24"/>
          <w:szCs w:val="28"/>
        </w:rPr>
        <w:t>图11装配工位装置气路汇流板效果</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装配工位装置中使用了四个伸缩气缸，对应的有四个二位五通电磁阀。使用一根电缆进行接线，在与机器人连接中在机器人电柜航插板中采用航插中转。如图12所示。</w:t>
      </w:r>
    </w:p>
    <w:p w:rsidR="00521531" w:rsidRDefault="00E61E69">
      <w:pPr>
        <w:spacing w:line="360" w:lineRule="auto"/>
        <w:jc w:val="center"/>
        <w:rPr>
          <w:rFonts w:ascii="仿宋" w:eastAsia="仿宋" w:hAnsi="仿宋" w:cs="仿宋"/>
          <w:color w:val="000000"/>
        </w:rPr>
      </w:pPr>
      <w:r>
        <w:rPr>
          <w:rFonts w:ascii="仿宋" w:eastAsia="仿宋" w:hAnsi="仿宋" w:cs="仿宋" w:hint="eastAsia"/>
          <w:noProof/>
          <w:color w:val="000000"/>
        </w:rPr>
        <w:lastRenderedPageBreak/>
        <w:drawing>
          <wp:inline distT="0" distB="0" distL="114300" distR="114300">
            <wp:extent cx="2598420" cy="2038985"/>
            <wp:effectExtent l="0" t="0" r="11430" b="18415"/>
            <wp:docPr id="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pic:cNvPicPr>
                      <a:picLocks noChangeAspect="1"/>
                    </pic:cNvPicPr>
                  </pic:nvPicPr>
                  <pic:blipFill>
                    <a:blip r:embed="rId22" cstate="print"/>
                    <a:stretch>
                      <a:fillRect/>
                    </a:stretch>
                  </pic:blipFill>
                  <pic:spPr>
                    <a:xfrm>
                      <a:off x="0" y="0"/>
                      <a:ext cx="2598420" cy="2038985"/>
                    </a:xfrm>
                    <a:prstGeom prst="rect">
                      <a:avLst/>
                    </a:prstGeom>
                    <a:noFill/>
                    <a:ln>
                      <a:noFill/>
                    </a:ln>
                  </pic:spPr>
                </pic:pic>
              </a:graphicData>
            </a:graphic>
          </wp:inline>
        </w:drawing>
      </w:r>
    </w:p>
    <w:p w:rsidR="00521531" w:rsidRDefault="00E61E69">
      <w:pPr>
        <w:spacing w:line="560" w:lineRule="exact"/>
        <w:ind w:firstLineChars="200" w:firstLine="480"/>
        <w:jc w:val="center"/>
        <w:rPr>
          <w:rFonts w:ascii="仿宋" w:eastAsia="仿宋" w:hAnsi="仿宋" w:cs="仿宋"/>
          <w:color w:val="000000"/>
          <w:sz w:val="24"/>
          <w:szCs w:val="28"/>
        </w:rPr>
      </w:pPr>
      <w:r>
        <w:rPr>
          <w:rFonts w:ascii="仿宋" w:eastAsia="仿宋" w:hAnsi="仿宋" w:cs="仿宋" w:hint="eastAsia"/>
          <w:color w:val="000000"/>
          <w:sz w:val="24"/>
          <w:szCs w:val="28"/>
        </w:rPr>
        <w:t>图12 机器人电控柜连接效果</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6.主控系统单元</w:t>
      </w:r>
    </w:p>
    <w:p w:rsidR="00521531" w:rsidRDefault="00E61E69">
      <w:pPr>
        <w:spacing w:line="560" w:lineRule="exact"/>
        <w:ind w:firstLineChars="200" w:firstLine="560"/>
        <w:jc w:val="left"/>
        <w:rPr>
          <w:rFonts w:ascii="仿宋" w:eastAsia="仿宋" w:hAnsi="仿宋" w:cs="仿宋"/>
          <w:color w:val="000000"/>
          <w:sz w:val="28"/>
          <w:szCs w:val="28"/>
        </w:rPr>
      </w:pPr>
      <w:r>
        <w:rPr>
          <w:rFonts w:ascii="仿宋" w:eastAsia="仿宋" w:hAnsi="仿宋" w:cs="仿宋" w:hint="eastAsia"/>
          <w:color w:val="000000"/>
          <w:sz w:val="28"/>
          <w:szCs w:val="28"/>
        </w:rPr>
        <w:t>主控单元配备西门子1200系列的可编程控制器，实现通过以太网对智能视觉系统，工业机器人、AGV移动机器人、码垛机器人智能仓储系统等进行数据交互与通讯，以及工件流水线和装配作业流水线的电机、气缸等执行机构动作控制，处理各单元检测信号，管理工作流程、数据传输等任务。</w:t>
      </w:r>
    </w:p>
    <w:p w:rsidR="00521531" w:rsidRDefault="00E61E69">
      <w:pPr>
        <w:spacing w:line="560" w:lineRule="exact"/>
        <w:ind w:firstLineChars="200" w:firstLine="560"/>
        <w:jc w:val="left"/>
        <w:rPr>
          <w:rFonts w:ascii="仿宋" w:eastAsia="仿宋" w:hAnsi="仿宋" w:cs="仿宋"/>
          <w:color w:val="000000"/>
          <w:sz w:val="28"/>
          <w:szCs w:val="28"/>
        </w:rPr>
      </w:pPr>
      <w:r>
        <w:rPr>
          <w:rFonts w:ascii="仿宋" w:eastAsia="仿宋" w:hAnsi="仿宋" w:cs="仿宋" w:hint="eastAsia"/>
          <w:color w:val="000000"/>
          <w:sz w:val="28"/>
          <w:szCs w:val="28"/>
        </w:rPr>
        <w:t>7.以太网交换机</w:t>
      </w:r>
    </w:p>
    <w:p w:rsidR="00521531" w:rsidRDefault="00E61E69">
      <w:pPr>
        <w:spacing w:line="560" w:lineRule="exact"/>
        <w:ind w:firstLineChars="200" w:firstLine="560"/>
        <w:jc w:val="left"/>
        <w:rPr>
          <w:rFonts w:ascii="仿宋" w:eastAsia="仿宋" w:hAnsi="仿宋" w:cs="仿宋"/>
          <w:color w:val="000000"/>
          <w:sz w:val="28"/>
          <w:szCs w:val="28"/>
        </w:rPr>
      </w:pPr>
      <w:r>
        <w:rPr>
          <w:rFonts w:ascii="仿宋" w:eastAsia="仿宋" w:hAnsi="仿宋" w:cs="仿宋" w:hint="eastAsia"/>
          <w:color w:val="000000"/>
          <w:sz w:val="28"/>
          <w:szCs w:val="28"/>
        </w:rPr>
        <w:t>以太网交换机将主控单元、机器人单元、智能视觉单元以及码垛机立库单元组成一个以太网局域网，进行数据的相互传输。</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（二）主要技术参数</w:t>
      </w:r>
    </w:p>
    <w:p w:rsidR="00521531" w:rsidRDefault="00E61E69">
      <w:pPr>
        <w:spacing w:line="560" w:lineRule="exact"/>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竞赛设备主要技术参数如表2和表3所示。</w:t>
      </w:r>
    </w:p>
    <w:p w:rsidR="00521531" w:rsidRDefault="00E61E69">
      <w:pPr>
        <w:widowControl/>
        <w:spacing w:line="560" w:lineRule="exact"/>
        <w:ind w:firstLineChars="200" w:firstLine="480"/>
        <w:jc w:val="center"/>
        <w:rPr>
          <w:rFonts w:ascii="仿宋" w:eastAsia="仿宋" w:hAnsi="仿宋" w:cs="仿宋"/>
          <w:color w:val="000000"/>
          <w:sz w:val="24"/>
          <w:szCs w:val="28"/>
        </w:rPr>
      </w:pPr>
      <w:r>
        <w:rPr>
          <w:rFonts w:ascii="仿宋" w:eastAsia="仿宋" w:hAnsi="仿宋" w:cs="仿宋" w:hint="eastAsia"/>
          <w:color w:val="000000"/>
          <w:sz w:val="24"/>
          <w:szCs w:val="28"/>
        </w:rPr>
        <w:t>表2竞赛平台整体技术要求</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4961"/>
        <w:gridCol w:w="1043"/>
      </w:tblGrid>
      <w:tr w:rsidR="00521531">
        <w:trPr>
          <w:trHeight w:val="526"/>
          <w:jc w:val="center"/>
        </w:trPr>
        <w:tc>
          <w:tcPr>
            <w:tcW w:w="2518" w:type="dxa"/>
            <w:vAlign w:val="center"/>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项   目</w:t>
            </w:r>
          </w:p>
        </w:tc>
        <w:tc>
          <w:tcPr>
            <w:tcW w:w="4961" w:type="dxa"/>
            <w:vAlign w:val="center"/>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参       数</w:t>
            </w:r>
          </w:p>
        </w:tc>
        <w:tc>
          <w:tcPr>
            <w:tcW w:w="1043" w:type="dxa"/>
            <w:vAlign w:val="center"/>
          </w:tcPr>
          <w:p w:rsidR="00521531" w:rsidRDefault="00E61E69">
            <w:pPr>
              <w:jc w:val="center"/>
              <w:rPr>
                <w:rFonts w:ascii="仿宋" w:eastAsia="仿宋" w:hAnsi="仿宋" w:cs="仿宋"/>
                <w:color w:val="000000"/>
                <w:sz w:val="24"/>
                <w:szCs w:val="28"/>
              </w:rPr>
            </w:pPr>
            <w:r>
              <w:rPr>
                <w:rFonts w:ascii="仿宋" w:eastAsia="仿宋" w:hAnsi="仿宋" w:cs="仿宋" w:hint="eastAsia"/>
                <w:color w:val="000000"/>
                <w:sz w:val="24"/>
                <w:szCs w:val="28"/>
              </w:rPr>
              <w:t>备注</w:t>
            </w:r>
          </w:p>
        </w:tc>
      </w:tr>
      <w:tr w:rsidR="00521531">
        <w:trPr>
          <w:jc w:val="center"/>
        </w:trPr>
        <w:tc>
          <w:tcPr>
            <w:tcW w:w="2518" w:type="dxa"/>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电源规格</w:t>
            </w:r>
          </w:p>
        </w:tc>
        <w:tc>
          <w:tcPr>
            <w:tcW w:w="4961" w:type="dxa"/>
          </w:tcPr>
          <w:p w:rsidR="00521531" w:rsidRDefault="00E61E69">
            <w:pPr>
              <w:widowControl/>
              <w:jc w:val="left"/>
              <w:rPr>
                <w:rFonts w:ascii="仿宋" w:eastAsia="仿宋" w:hAnsi="仿宋" w:cs="仿宋"/>
                <w:color w:val="000000"/>
                <w:sz w:val="24"/>
                <w:szCs w:val="28"/>
              </w:rPr>
            </w:pPr>
            <w:r>
              <w:rPr>
                <w:rFonts w:ascii="仿宋" w:eastAsia="仿宋" w:hAnsi="仿宋" w:cs="仿宋" w:hint="eastAsia"/>
                <w:color w:val="000000"/>
                <w:sz w:val="24"/>
                <w:szCs w:val="28"/>
              </w:rPr>
              <w:t>AC380V / 50Hz / 8KW</w:t>
            </w:r>
          </w:p>
        </w:tc>
        <w:tc>
          <w:tcPr>
            <w:tcW w:w="1043" w:type="dxa"/>
          </w:tcPr>
          <w:p w:rsidR="00521531" w:rsidRDefault="00521531">
            <w:pPr>
              <w:jc w:val="left"/>
              <w:rPr>
                <w:rFonts w:ascii="仿宋" w:eastAsia="仿宋" w:hAnsi="仿宋" w:cs="仿宋"/>
                <w:color w:val="000000"/>
                <w:sz w:val="24"/>
                <w:szCs w:val="28"/>
              </w:rPr>
            </w:pPr>
          </w:p>
        </w:tc>
      </w:tr>
      <w:tr w:rsidR="00521531">
        <w:trPr>
          <w:jc w:val="center"/>
        </w:trPr>
        <w:tc>
          <w:tcPr>
            <w:tcW w:w="2518" w:type="dxa"/>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气源规格</w:t>
            </w:r>
          </w:p>
        </w:tc>
        <w:tc>
          <w:tcPr>
            <w:tcW w:w="4961" w:type="dxa"/>
          </w:tcPr>
          <w:p w:rsidR="00521531" w:rsidRDefault="00E61E69">
            <w:pPr>
              <w:widowControl/>
              <w:jc w:val="left"/>
              <w:rPr>
                <w:rFonts w:ascii="仿宋" w:eastAsia="仿宋" w:hAnsi="仿宋" w:cs="仿宋"/>
                <w:color w:val="000000"/>
                <w:sz w:val="24"/>
                <w:szCs w:val="28"/>
              </w:rPr>
            </w:pPr>
            <w:r>
              <w:rPr>
                <w:rFonts w:ascii="仿宋" w:eastAsia="仿宋" w:hAnsi="仿宋" w:cs="仿宋" w:hint="eastAsia"/>
                <w:color w:val="000000"/>
                <w:sz w:val="24"/>
                <w:szCs w:val="28"/>
              </w:rPr>
              <w:t>进气管φ10； 0.5-0.8Mpa</w:t>
            </w:r>
          </w:p>
        </w:tc>
        <w:tc>
          <w:tcPr>
            <w:tcW w:w="1043" w:type="dxa"/>
          </w:tcPr>
          <w:p w:rsidR="00521531" w:rsidRDefault="00521531">
            <w:pPr>
              <w:jc w:val="left"/>
              <w:rPr>
                <w:rFonts w:ascii="仿宋" w:eastAsia="仿宋" w:hAnsi="仿宋" w:cs="仿宋"/>
                <w:color w:val="000000"/>
                <w:sz w:val="24"/>
                <w:szCs w:val="28"/>
              </w:rPr>
            </w:pPr>
          </w:p>
        </w:tc>
      </w:tr>
      <w:tr w:rsidR="00521531">
        <w:trPr>
          <w:jc w:val="center"/>
        </w:trPr>
        <w:tc>
          <w:tcPr>
            <w:tcW w:w="2518" w:type="dxa"/>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环境温度</w:t>
            </w:r>
          </w:p>
        </w:tc>
        <w:tc>
          <w:tcPr>
            <w:tcW w:w="4961" w:type="dxa"/>
          </w:tcPr>
          <w:p w:rsidR="00521531" w:rsidRDefault="00E61E69">
            <w:pPr>
              <w:widowControl/>
              <w:jc w:val="left"/>
              <w:rPr>
                <w:rFonts w:ascii="仿宋" w:eastAsia="仿宋" w:hAnsi="仿宋" w:cs="仿宋"/>
                <w:color w:val="000000"/>
                <w:sz w:val="24"/>
                <w:szCs w:val="28"/>
              </w:rPr>
            </w:pPr>
            <w:r>
              <w:rPr>
                <w:rFonts w:ascii="仿宋" w:eastAsia="仿宋" w:hAnsi="仿宋" w:cs="仿宋" w:hint="eastAsia"/>
                <w:color w:val="000000"/>
                <w:sz w:val="24"/>
                <w:szCs w:val="28"/>
              </w:rPr>
              <w:t>－5℃～+45℃</w:t>
            </w:r>
          </w:p>
        </w:tc>
        <w:tc>
          <w:tcPr>
            <w:tcW w:w="1043" w:type="dxa"/>
          </w:tcPr>
          <w:p w:rsidR="00521531" w:rsidRDefault="00521531">
            <w:pPr>
              <w:jc w:val="left"/>
              <w:rPr>
                <w:rFonts w:ascii="仿宋" w:eastAsia="仿宋" w:hAnsi="仿宋" w:cs="仿宋"/>
                <w:color w:val="000000"/>
                <w:sz w:val="24"/>
                <w:szCs w:val="28"/>
              </w:rPr>
            </w:pPr>
          </w:p>
        </w:tc>
      </w:tr>
      <w:tr w:rsidR="00521531">
        <w:trPr>
          <w:jc w:val="center"/>
        </w:trPr>
        <w:tc>
          <w:tcPr>
            <w:tcW w:w="2518" w:type="dxa"/>
          </w:tcPr>
          <w:p w:rsidR="00521531" w:rsidRDefault="00E61E69">
            <w:pPr>
              <w:widowControl/>
              <w:jc w:val="center"/>
              <w:rPr>
                <w:rFonts w:ascii="仿宋" w:eastAsia="仿宋" w:hAnsi="仿宋" w:cs="仿宋"/>
                <w:color w:val="000000"/>
                <w:sz w:val="24"/>
                <w:szCs w:val="28"/>
              </w:rPr>
            </w:pPr>
            <w:r>
              <w:rPr>
                <w:rFonts w:ascii="仿宋" w:eastAsia="仿宋" w:hAnsi="仿宋" w:cs="仿宋" w:hint="eastAsia"/>
                <w:color w:val="000000"/>
                <w:sz w:val="24"/>
                <w:szCs w:val="28"/>
              </w:rPr>
              <w:t>相对湿度</w:t>
            </w:r>
          </w:p>
        </w:tc>
        <w:tc>
          <w:tcPr>
            <w:tcW w:w="4961" w:type="dxa"/>
          </w:tcPr>
          <w:p w:rsidR="00521531" w:rsidRDefault="00E61E69">
            <w:pPr>
              <w:widowControl/>
              <w:jc w:val="left"/>
              <w:rPr>
                <w:rFonts w:ascii="仿宋" w:eastAsia="仿宋" w:hAnsi="仿宋" w:cs="仿宋"/>
                <w:color w:val="000000"/>
                <w:sz w:val="24"/>
                <w:szCs w:val="28"/>
              </w:rPr>
            </w:pPr>
            <w:r>
              <w:rPr>
                <w:rFonts w:ascii="仿宋" w:eastAsia="仿宋" w:hAnsi="仿宋" w:cs="仿宋" w:hint="eastAsia"/>
                <w:color w:val="000000"/>
                <w:sz w:val="24"/>
                <w:szCs w:val="28"/>
              </w:rPr>
              <w:t>≤96%</w:t>
            </w:r>
          </w:p>
        </w:tc>
        <w:tc>
          <w:tcPr>
            <w:tcW w:w="1043" w:type="dxa"/>
          </w:tcPr>
          <w:p w:rsidR="00521531" w:rsidRDefault="00521531">
            <w:pPr>
              <w:jc w:val="left"/>
              <w:rPr>
                <w:rFonts w:ascii="仿宋" w:eastAsia="仿宋" w:hAnsi="仿宋" w:cs="仿宋"/>
                <w:color w:val="000000"/>
                <w:sz w:val="24"/>
                <w:szCs w:val="28"/>
              </w:rPr>
            </w:pPr>
          </w:p>
        </w:tc>
      </w:tr>
      <w:tr w:rsidR="00521531">
        <w:trPr>
          <w:jc w:val="center"/>
        </w:trPr>
        <w:tc>
          <w:tcPr>
            <w:tcW w:w="2518" w:type="dxa"/>
          </w:tcPr>
          <w:p w:rsidR="00521531" w:rsidRDefault="00E61E69">
            <w:pPr>
              <w:jc w:val="center"/>
              <w:rPr>
                <w:rFonts w:ascii="仿宋" w:eastAsia="仿宋" w:hAnsi="仿宋" w:cs="仿宋"/>
                <w:color w:val="000000"/>
                <w:sz w:val="24"/>
                <w:szCs w:val="28"/>
              </w:rPr>
            </w:pPr>
            <w:r>
              <w:rPr>
                <w:rFonts w:ascii="仿宋" w:eastAsia="仿宋" w:hAnsi="仿宋" w:cs="仿宋" w:hint="eastAsia"/>
                <w:color w:val="000000"/>
                <w:sz w:val="24"/>
                <w:szCs w:val="28"/>
              </w:rPr>
              <w:t>系统整体</w:t>
            </w:r>
          </w:p>
        </w:tc>
        <w:tc>
          <w:tcPr>
            <w:tcW w:w="4961" w:type="dxa"/>
          </w:tcPr>
          <w:p w:rsidR="00521531" w:rsidRDefault="00E61E69">
            <w:pPr>
              <w:jc w:val="left"/>
              <w:rPr>
                <w:rFonts w:ascii="仿宋" w:eastAsia="仿宋" w:hAnsi="仿宋" w:cs="仿宋"/>
                <w:color w:val="000000"/>
                <w:sz w:val="24"/>
                <w:szCs w:val="28"/>
              </w:rPr>
            </w:pPr>
            <w:r>
              <w:rPr>
                <w:rFonts w:ascii="仿宋" w:eastAsia="仿宋" w:hAnsi="仿宋" w:cs="仿宋" w:hint="eastAsia"/>
                <w:color w:val="000000"/>
                <w:sz w:val="24"/>
                <w:szCs w:val="28"/>
              </w:rPr>
              <w:t>场地尺寸（长×宽）mm：8000×4000</w:t>
            </w:r>
          </w:p>
        </w:tc>
        <w:tc>
          <w:tcPr>
            <w:tcW w:w="1043" w:type="dxa"/>
          </w:tcPr>
          <w:p w:rsidR="00521531" w:rsidRDefault="00521531">
            <w:pPr>
              <w:jc w:val="left"/>
              <w:rPr>
                <w:rFonts w:ascii="仿宋" w:eastAsia="仿宋" w:hAnsi="仿宋" w:cs="仿宋"/>
                <w:color w:val="000000"/>
                <w:sz w:val="24"/>
                <w:szCs w:val="28"/>
              </w:rPr>
            </w:pPr>
          </w:p>
        </w:tc>
      </w:tr>
    </w:tbl>
    <w:p w:rsidR="00521531" w:rsidRDefault="00521531">
      <w:pPr>
        <w:spacing w:line="560" w:lineRule="exact"/>
        <w:ind w:firstLineChars="200" w:firstLine="480"/>
        <w:jc w:val="center"/>
        <w:rPr>
          <w:rFonts w:ascii="仿宋" w:eastAsia="仿宋" w:hAnsi="仿宋" w:cs="仿宋"/>
          <w:color w:val="000000"/>
          <w:sz w:val="24"/>
          <w:szCs w:val="30"/>
        </w:rPr>
      </w:pPr>
    </w:p>
    <w:p w:rsidR="00521531" w:rsidRDefault="00E61E69">
      <w:pPr>
        <w:spacing w:line="560" w:lineRule="exact"/>
        <w:ind w:firstLineChars="200" w:firstLine="480"/>
        <w:jc w:val="center"/>
        <w:rPr>
          <w:rFonts w:ascii="仿宋" w:eastAsia="仿宋" w:hAnsi="仿宋" w:cs="仿宋"/>
          <w:color w:val="000000"/>
          <w:sz w:val="24"/>
          <w:szCs w:val="30"/>
        </w:rPr>
      </w:pPr>
      <w:r>
        <w:rPr>
          <w:rFonts w:ascii="仿宋" w:eastAsia="仿宋" w:hAnsi="仿宋" w:cs="仿宋" w:hint="eastAsia"/>
          <w:color w:val="000000"/>
          <w:sz w:val="24"/>
          <w:szCs w:val="30"/>
        </w:rPr>
        <w:lastRenderedPageBreak/>
        <w:t>表3 设备组成和技术参数</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2"/>
        <w:gridCol w:w="956"/>
        <w:gridCol w:w="955"/>
        <w:gridCol w:w="4641"/>
        <w:gridCol w:w="1048"/>
      </w:tblGrid>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序号</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名称</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数量</w:t>
            </w:r>
          </w:p>
        </w:tc>
        <w:tc>
          <w:tcPr>
            <w:tcW w:w="4641"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主要技术参数及规格</w:t>
            </w:r>
          </w:p>
        </w:tc>
        <w:tc>
          <w:tcPr>
            <w:tcW w:w="104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备注</w:t>
            </w: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自动化立体仓库</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具体参数：</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w:t>
            </w:r>
            <w:r>
              <w:rPr>
                <w:rFonts w:ascii="仿宋" w:eastAsia="仿宋" w:hAnsi="仿宋" w:cs="仿宋" w:hint="eastAsia"/>
                <w:color w:val="000000"/>
                <w:sz w:val="24"/>
              </w:rPr>
              <w:t>仓库总高约1900mm，宽度约2800mm；</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2）包含28个仓位；</w:t>
            </w:r>
          </w:p>
        </w:tc>
        <w:tc>
          <w:tcPr>
            <w:tcW w:w="1048" w:type="dxa"/>
            <w:vAlign w:val="center"/>
          </w:tcPr>
          <w:p w:rsidR="00521531" w:rsidRDefault="00521531">
            <w:pPr>
              <w:widowControl/>
              <w:jc w:val="left"/>
              <w:rPr>
                <w:rFonts w:ascii="仿宋" w:eastAsia="仿宋" w:hAnsi="仿宋" w:cs="仿宋"/>
                <w:color w:val="00000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码垛机器人</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具体参数：</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1）X轴方向的运动采用蜗轮减速装置，具有一定的自锁性；</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2）X轴、Z轴的驱动电机还带有刹车装置，保证机器断电后立即停车.X轴和Y轴运动都带有防撞装置；</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3）X、Y、Z轴均采用变频控制。</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码垛单元控制系统及控制柜</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numPr>
                <w:ilvl w:val="0"/>
                <w:numId w:val="2"/>
              </w:numPr>
              <w:jc w:val="left"/>
              <w:rPr>
                <w:rFonts w:ascii="仿宋" w:eastAsia="仿宋" w:hAnsi="仿宋" w:cs="仿宋"/>
                <w:color w:val="000000"/>
                <w:kern w:val="0"/>
                <w:sz w:val="24"/>
              </w:rPr>
            </w:pPr>
            <w:r>
              <w:rPr>
                <w:rFonts w:ascii="仿宋" w:eastAsia="仿宋" w:hAnsi="仿宋" w:cs="仿宋" w:hint="eastAsia"/>
                <w:color w:val="000000"/>
                <w:kern w:val="0"/>
                <w:sz w:val="24"/>
              </w:rPr>
              <w:t>控制柜尺寸：长：650-900mm；宽：425-600mm;高：900-1300mm</w:t>
            </w:r>
          </w:p>
          <w:p w:rsidR="00521531" w:rsidRDefault="00E61E69">
            <w:pPr>
              <w:numPr>
                <w:ilvl w:val="0"/>
                <w:numId w:val="2"/>
              </w:numPr>
              <w:jc w:val="left"/>
              <w:rPr>
                <w:rFonts w:ascii="仿宋" w:eastAsia="仿宋" w:hAnsi="仿宋" w:cs="仿宋"/>
                <w:color w:val="000000"/>
                <w:kern w:val="0"/>
                <w:sz w:val="24"/>
              </w:rPr>
            </w:pPr>
            <w:r>
              <w:rPr>
                <w:rFonts w:ascii="仿宋" w:eastAsia="仿宋" w:hAnsi="仿宋" w:cs="仿宋" w:hint="eastAsia"/>
                <w:color w:val="000000"/>
                <w:kern w:val="0"/>
                <w:sz w:val="24"/>
              </w:rPr>
              <w:t>2）供电要求：三相/380V/50Hz；</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4</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基础底板</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2块</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基础底板由型材和钢板组成，共有2块基础底板：</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1）1块底板用于安装仓库与码垛机器人；</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2）另1块安装在多关节工业机器人下方。</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AGV机器人</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具体参数为：</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1）直线运行速度：18m/min</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2）弯道运行速度：10～15m/min</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3）纵向地标定位精度：±3mm</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4）横向地标定位精度：±3mm</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5）最小转弯半径：650mm</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6）额定载重：30Kg</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7）最大载重：50Kg</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8）自动导引传感器：专用磁导循迹传感器</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9）电源：电池组DC12V 36AH两组、DC24V</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 xml:space="preserve"> 30AH</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10）充电方式：外置充电器</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11）最大噪音：≤70db</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6</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多自由度关节式机器人</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 xml:space="preserve">（1）基本要求：工业级机器人；并为以后扩展提供接口。线缆长度满足正常使用，可与控制系统电控柜直接连接。具备软件升级功能及计算机联网和系统进一步扩展功能； </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（2） 机器人技术参数要求如下：</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 运动自由度：6自由度；</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2） 驱动方式：AC 全伺服电机驱动；</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3） 负载能力：≥16kg；</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4） 重复定位精度：±0.06mm；</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lastRenderedPageBreak/>
              <w:t>5） 每轴运动范围：</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1： ±155°；</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2： +65°/-175°；</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3： +175°/-40°；</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4： ±180°；</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5： ±125°；</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6： ±360°；</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6） 每轴运动速度：</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1： 170°/s；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2： 165°/s；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3： 170°/s；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4： 297°/s；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5： 297°/s；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关节 6： 375°/s；</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7） 最大展开半径：≥1700mm；   8)通信方式: MODBUS TCP/以太网</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9）操作方式：示教再现/编程；</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10）供电电源：三相/380V/50Hz；</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11）控制系统和示教盒：1 套；工业级嵌入式控制，独立控制柜；高性能运动控制器，人机界面彩色7寸，全触屏操作，除急停按钮外示教器不携带任何操作按键，中文操作界面。具有机械保护、电气停止保护、电气减速运行保护、人工紧急停止等保护功能；以保证实验实训安全。</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12） 末端双功能真空吸附、手爪工具及安装 支架：1 套；</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7</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智能视觉检测系统</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1套</w:t>
            </w:r>
          </w:p>
        </w:tc>
        <w:tc>
          <w:tcPr>
            <w:tcW w:w="4641" w:type="dxa"/>
            <w:vAlign w:val="center"/>
          </w:tcPr>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1） 工业相机分辨率（像素）：30-500万像素；</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2)工业镜头：焦距=12mm-20mm；</w:t>
            </w:r>
          </w:p>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3)相机配置附标准特征库的软件，标准软件 协议，USB3 Vision 或以太网</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8</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工件作业流水线系统</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pStyle w:val="Default"/>
              <w:adjustRightInd/>
              <w:ind w:left="560" w:hanging="560"/>
              <w:rPr>
                <w:rFonts w:ascii="仿宋" w:eastAsia="仿宋" w:hAnsi="仿宋" w:cs="仿宋"/>
              </w:rPr>
            </w:pPr>
            <w:r>
              <w:rPr>
                <w:rFonts w:ascii="仿宋" w:eastAsia="仿宋" w:hAnsi="仿宋" w:cs="仿宋" w:hint="eastAsia"/>
              </w:rPr>
              <w:t>具体参数为：</w:t>
            </w:r>
          </w:p>
          <w:p w:rsidR="00521531" w:rsidRDefault="00E61E69">
            <w:pPr>
              <w:pStyle w:val="Default"/>
              <w:adjustRightInd/>
              <w:rPr>
                <w:rFonts w:ascii="仿宋" w:eastAsia="仿宋" w:hAnsi="仿宋" w:cs="仿宋"/>
              </w:rPr>
            </w:pPr>
            <w:r>
              <w:rPr>
                <w:rFonts w:ascii="仿宋" w:eastAsia="仿宋" w:hAnsi="仿宋" w:cs="仿宋" w:hint="eastAsia"/>
              </w:rPr>
              <w:t xml:space="preserve">1）输送线距地面的尺寸：800mm，可微调； </w:t>
            </w:r>
          </w:p>
          <w:p w:rsidR="00521531" w:rsidRDefault="00E61E69">
            <w:pPr>
              <w:pStyle w:val="Default"/>
              <w:adjustRightInd/>
              <w:ind w:left="560" w:hanging="560"/>
              <w:rPr>
                <w:rFonts w:ascii="仿宋" w:eastAsia="仿宋" w:hAnsi="仿宋" w:cs="仿宋"/>
              </w:rPr>
            </w:pPr>
            <w:r>
              <w:rPr>
                <w:rFonts w:ascii="仿宋" w:eastAsia="仿宋" w:hAnsi="仿宋" w:cs="仿宋" w:hint="eastAsia"/>
              </w:rPr>
              <w:t>2）输送速度最大55mm/s；</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3）托盘输送线采用倍速链结构。侧面流利条导向，喇叭口流利条导向，具有6个工位，第2、4工位阻挡气缸，型材槽（内槽）安装功能型传感器用分别在1、2、4、5、6工位。输送线由异步电机变频控制。</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9</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装配作业流水线系统</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1套</w:t>
            </w:r>
          </w:p>
        </w:tc>
        <w:tc>
          <w:tcPr>
            <w:tcW w:w="4641" w:type="dxa"/>
            <w:vAlign w:val="center"/>
          </w:tcPr>
          <w:p w:rsidR="00521531" w:rsidRDefault="00E61E69">
            <w:pPr>
              <w:pStyle w:val="Default"/>
              <w:adjustRightInd/>
              <w:ind w:left="560" w:hanging="560"/>
              <w:jc w:val="both"/>
              <w:rPr>
                <w:rFonts w:ascii="仿宋" w:eastAsia="仿宋" w:hAnsi="仿宋" w:cs="仿宋"/>
              </w:rPr>
            </w:pPr>
            <w:r>
              <w:rPr>
                <w:rFonts w:ascii="仿宋" w:eastAsia="仿宋" w:hAnsi="仿宋" w:cs="仿宋" w:hint="eastAsia"/>
              </w:rPr>
              <w:t>具体参数为：</w:t>
            </w:r>
          </w:p>
          <w:p w:rsidR="00521531" w:rsidRDefault="00E61E69">
            <w:pPr>
              <w:pStyle w:val="Default"/>
              <w:adjustRightInd/>
              <w:ind w:left="560" w:hanging="560"/>
              <w:jc w:val="both"/>
              <w:rPr>
                <w:rFonts w:ascii="仿宋" w:eastAsia="仿宋" w:hAnsi="仿宋" w:cs="仿宋"/>
              </w:rPr>
            </w:pPr>
            <w:r>
              <w:rPr>
                <w:rFonts w:ascii="仿宋" w:eastAsia="仿宋" w:hAnsi="仿宋" w:cs="仿宋" w:hint="eastAsia"/>
              </w:rPr>
              <w:t>1）装配作业流水线高度为：774mm，可微调；</w:t>
            </w:r>
          </w:p>
          <w:p w:rsidR="00521531" w:rsidRDefault="00E61E69">
            <w:pPr>
              <w:pStyle w:val="Default"/>
              <w:adjustRightInd/>
              <w:rPr>
                <w:rFonts w:ascii="仿宋" w:eastAsia="仿宋" w:hAnsi="仿宋" w:cs="仿宋"/>
              </w:rPr>
            </w:pPr>
            <w:r>
              <w:rPr>
                <w:rFonts w:ascii="仿宋" w:eastAsia="仿宋" w:hAnsi="仿宋" w:cs="仿宋" w:hint="eastAsia"/>
              </w:rPr>
              <w:t>2）输送速度最大550mm/s，流水线由步进</w:t>
            </w:r>
            <w:r>
              <w:rPr>
                <w:rFonts w:ascii="仿宋" w:eastAsia="仿宋" w:hAnsi="仿宋" w:cs="仿宋" w:hint="eastAsia"/>
              </w:rPr>
              <w:lastRenderedPageBreak/>
              <w:t>电机控制；</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3）工件盒输送线采用板链结构；</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4）流水线上有工件定位及装配工位，每个工位配备行程为20mm的双杆伸缩气缸，以及对应定位块。整个定位及装配工位尺寸为300mm*400mm。</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10</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安全防护网</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1组</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1）外形尺寸（长X宽X高）mm：3000X3000X1300；</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2）配置安全门和安全开关；</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11</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主控系统及控制柜</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1台</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1）控制柜尺寸：长：650-900mm；宽：425-600mm;高：900-1300mm</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2）供电要求：三相/380V/50Hz；</w:t>
            </w:r>
          </w:p>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3）控制系统采用PLC控制。</w:t>
            </w:r>
          </w:p>
        </w:tc>
        <w:tc>
          <w:tcPr>
            <w:tcW w:w="1048" w:type="dxa"/>
            <w:vAlign w:val="center"/>
          </w:tcPr>
          <w:p w:rsidR="00521531" w:rsidRDefault="00521531">
            <w:pPr>
              <w:widowControl/>
              <w:jc w:val="left"/>
              <w:rPr>
                <w:rFonts w:ascii="仿宋" w:eastAsia="仿宋" w:hAnsi="仿宋" w:cs="仿宋"/>
                <w:color w:val="000000"/>
                <w:kern w:val="0"/>
                <w:sz w:val="24"/>
              </w:rPr>
            </w:pPr>
          </w:p>
        </w:tc>
      </w:tr>
      <w:tr w:rsidR="00521531">
        <w:trPr>
          <w:trHeight w:val="390"/>
          <w:jc w:val="center"/>
        </w:trPr>
        <w:tc>
          <w:tcPr>
            <w:tcW w:w="922"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12</w:t>
            </w:r>
          </w:p>
        </w:tc>
        <w:tc>
          <w:tcPr>
            <w:tcW w:w="95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附件</w:t>
            </w:r>
          </w:p>
        </w:tc>
        <w:tc>
          <w:tcPr>
            <w:tcW w:w="955"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1套</w:t>
            </w:r>
          </w:p>
        </w:tc>
        <w:tc>
          <w:tcPr>
            <w:tcW w:w="4641"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交换机、网线、桥架、工件、托盘等</w:t>
            </w:r>
          </w:p>
        </w:tc>
        <w:tc>
          <w:tcPr>
            <w:tcW w:w="1048" w:type="dxa"/>
            <w:vAlign w:val="center"/>
          </w:tcPr>
          <w:p w:rsidR="00521531" w:rsidRDefault="00521531">
            <w:pPr>
              <w:jc w:val="left"/>
              <w:rPr>
                <w:rFonts w:ascii="仿宋" w:eastAsia="仿宋" w:hAnsi="仿宋" w:cs="仿宋"/>
                <w:color w:val="000000"/>
                <w:kern w:val="0"/>
                <w:sz w:val="24"/>
              </w:rPr>
            </w:pPr>
          </w:p>
        </w:tc>
      </w:tr>
    </w:tbl>
    <w:p w:rsidR="00521531" w:rsidRDefault="00E61E69">
      <w:pPr>
        <w:snapToGrid w:val="0"/>
        <w:spacing w:line="560" w:lineRule="exact"/>
        <w:ind w:firstLine="420"/>
        <w:jc w:val="left"/>
        <w:rPr>
          <w:rFonts w:ascii="仿宋" w:eastAsia="仿宋" w:hAnsi="仿宋" w:cs="仿宋"/>
          <w:color w:val="000000"/>
          <w:kern w:val="0"/>
          <w:sz w:val="28"/>
          <w:szCs w:val="30"/>
        </w:rPr>
      </w:pPr>
      <w:r>
        <w:rPr>
          <w:rFonts w:ascii="仿宋" w:eastAsia="仿宋" w:hAnsi="仿宋" w:cs="仿宋" w:hint="eastAsia"/>
          <w:color w:val="000000"/>
          <w:kern w:val="0"/>
          <w:sz w:val="28"/>
          <w:szCs w:val="30"/>
        </w:rPr>
        <w:t>耗材及配套工具如下表4所示。</w:t>
      </w:r>
    </w:p>
    <w:p w:rsidR="00521531" w:rsidRDefault="00521531">
      <w:pPr>
        <w:snapToGrid w:val="0"/>
        <w:spacing w:line="560" w:lineRule="exact"/>
        <w:ind w:firstLine="420"/>
        <w:jc w:val="left"/>
        <w:rPr>
          <w:rFonts w:ascii="仿宋" w:eastAsia="仿宋" w:hAnsi="仿宋" w:cs="仿宋"/>
          <w:color w:val="000000"/>
          <w:kern w:val="0"/>
          <w:sz w:val="24"/>
          <w:szCs w:val="30"/>
        </w:rPr>
      </w:pPr>
    </w:p>
    <w:p w:rsidR="00521531" w:rsidRDefault="00E61E69">
      <w:pPr>
        <w:snapToGrid w:val="0"/>
        <w:spacing w:line="560" w:lineRule="exact"/>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表4 耗材及配套工具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26"/>
        <w:gridCol w:w="5252"/>
        <w:gridCol w:w="1327"/>
      </w:tblGrid>
      <w:tr w:rsidR="00521531">
        <w:trPr>
          <w:trHeight w:val="416"/>
          <w:jc w:val="center"/>
        </w:trPr>
        <w:tc>
          <w:tcPr>
            <w:tcW w:w="817"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序号</w:t>
            </w:r>
          </w:p>
        </w:tc>
        <w:tc>
          <w:tcPr>
            <w:tcW w:w="1126"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名称</w:t>
            </w:r>
          </w:p>
        </w:tc>
        <w:tc>
          <w:tcPr>
            <w:tcW w:w="5252"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主要组成器件</w:t>
            </w:r>
          </w:p>
        </w:tc>
        <w:tc>
          <w:tcPr>
            <w:tcW w:w="1327"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数量</w:t>
            </w:r>
          </w:p>
        </w:tc>
      </w:tr>
      <w:tr w:rsidR="00521531">
        <w:trPr>
          <w:trHeight w:val="454"/>
          <w:jc w:val="center"/>
        </w:trPr>
        <w:tc>
          <w:tcPr>
            <w:tcW w:w="817"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1</w:t>
            </w:r>
          </w:p>
        </w:tc>
        <w:tc>
          <w:tcPr>
            <w:tcW w:w="1126"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耗材</w:t>
            </w:r>
          </w:p>
        </w:tc>
        <w:tc>
          <w:tcPr>
            <w:tcW w:w="5252" w:type="dxa"/>
          </w:tcPr>
          <w:p w:rsidR="00521531" w:rsidRDefault="00E61E69">
            <w:pPr>
              <w:autoSpaceDE w:val="0"/>
              <w:autoSpaceDN w:val="0"/>
              <w:adjustRightInd w:val="0"/>
              <w:snapToGrid w:val="0"/>
              <w:jc w:val="left"/>
              <w:rPr>
                <w:rFonts w:ascii="仿宋" w:eastAsia="仿宋" w:hAnsi="仿宋" w:cs="仿宋"/>
                <w:color w:val="000000"/>
                <w:kern w:val="0"/>
                <w:sz w:val="24"/>
                <w:szCs w:val="30"/>
              </w:rPr>
            </w:pPr>
            <w:r>
              <w:rPr>
                <w:rFonts w:ascii="仿宋" w:eastAsia="仿宋" w:hAnsi="仿宋" w:cs="仿宋" w:hint="eastAsia"/>
                <w:color w:val="000000"/>
                <w:kern w:val="0"/>
                <w:sz w:val="24"/>
                <w:szCs w:val="30"/>
              </w:rPr>
              <w:t>保险丝、0.75mm2导线、1.5mm2导线、号码管、接线端子、托盘、工件等</w:t>
            </w:r>
          </w:p>
        </w:tc>
        <w:tc>
          <w:tcPr>
            <w:tcW w:w="1327" w:type="dxa"/>
            <w:vAlign w:val="center"/>
          </w:tcPr>
          <w:p w:rsidR="00521531" w:rsidRDefault="00E61E69">
            <w:pPr>
              <w:tabs>
                <w:tab w:val="left" w:pos="236"/>
                <w:tab w:val="center" w:pos="468"/>
              </w:tabs>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1套</w:t>
            </w:r>
          </w:p>
        </w:tc>
      </w:tr>
      <w:tr w:rsidR="00521531">
        <w:trPr>
          <w:trHeight w:val="454"/>
          <w:jc w:val="center"/>
        </w:trPr>
        <w:tc>
          <w:tcPr>
            <w:tcW w:w="817"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2</w:t>
            </w:r>
          </w:p>
        </w:tc>
        <w:tc>
          <w:tcPr>
            <w:tcW w:w="1126" w:type="dxa"/>
            <w:vAlign w:val="center"/>
          </w:tcPr>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配套</w:t>
            </w:r>
          </w:p>
          <w:p w:rsidR="00521531" w:rsidRDefault="00E61E69">
            <w:pPr>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工具</w:t>
            </w:r>
          </w:p>
        </w:tc>
        <w:tc>
          <w:tcPr>
            <w:tcW w:w="5252" w:type="dxa"/>
          </w:tcPr>
          <w:p w:rsidR="00521531" w:rsidRDefault="00E61E69">
            <w:pPr>
              <w:autoSpaceDE w:val="0"/>
              <w:autoSpaceDN w:val="0"/>
              <w:adjustRightInd w:val="0"/>
              <w:snapToGrid w:val="0"/>
              <w:jc w:val="left"/>
              <w:rPr>
                <w:rFonts w:ascii="仿宋" w:eastAsia="仿宋" w:hAnsi="仿宋" w:cs="仿宋"/>
                <w:color w:val="000000"/>
                <w:kern w:val="0"/>
                <w:sz w:val="24"/>
                <w:szCs w:val="30"/>
              </w:rPr>
            </w:pPr>
            <w:r>
              <w:rPr>
                <w:rFonts w:ascii="仿宋" w:eastAsia="仿宋" w:hAnsi="仿宋" w:cs="仿宋" w:hint="eastAsia"/>
                <w:color w:val="000000"/>
                <w:kern w:val="0"/>
                <w:sz w:val="24"/>
                <w:szCs w:val="30"/>
              </w:rPr>
              <w:t>包括小一字螺丝刀、小十字螺丝刀、长柄螺丝刀、钟表螺丝刀、剪刀、剥线钳、尖嘴钳、斜口钳、电烙铁、试电笔、焊锡丝、镊子、活动扳手、内外六角扳手、便携式万用表及书写工具等</w:t>
            </w:r>
          </w:p>
        </w:tc>
        <w:tc>
          <w:tcPr>
            <w:tcW w:w="1327" w:type="dxa"/>
            <w:vAlign w:val="center"/>
          </w:tcPr>
          <w:p w:rsidR="00521531" w:rsidRDefault="00E61E69">
            <w:pPr>
              <w:tabs>
                <w:tab w:val="left" w:pos="236"/>
                <w:tab w:val="center" w:pos="468"/>
              </w:tabs>
              <w:autoSpaceDE w:val="0"/>
              <w:autoSpaceDN w:val="0"/>
              <w:adjustRightInd w:val="0"/>
              <w:snapToGrid w:val="0"/>
              <w:jc w:val="center"/>
              <w:rPr>
                <w:rFonts w:ascii="仿宋" w:eastAsia="仿宋" w:hAnsi="仿宋" w:cs="仿宋"/>
                <w:color w:val="000000"/>
                <w:kern w:val="0"/>
                <w:sz w:val="24"/>
                <w:szCs w:val="30"/>
              </w:rPr>
            </w:pPr>
            <w:r>
              <w:rPr>
                <w:rFonts w:ascii="仿宋" w:eastAsia="仿宋" w:hAnsi="仿宋" w:cs="仿宋" w:hint="eastAsia"/>
                <w:color w:val="000000"/>
                <w:kern w:val="0"/>
                <w:sz w:val="24"/>
                <w:szCs w:val="30"/>
              </w:rPr>
              <w:t>1套</w:t>
            </w:r>
          </w:p>
        </w:tc>
      </w:tr>
    </w:tbl>
    <w:p w:rsidR="00521531" w:rsidRPr="004B6822" w:rsidRDefault="00E61E69">
      <w:pPr>
        <w:spacing w:line="360" w:lineRule="auto"/>
        <w:ind w:firstLineChars="200" w:firstLine="602"/>
        <w:outlineLvl w:val="0"/>
        <w:rPr>
          <w:rFonts w:ascii="黑体" w:eastAsia="黑体" w:hAnsi="黑体" w:cs="Times New Roman"/>
          <w:b/>
          <w:sz w:val="30"/>
          <w:szCs w:val="30"/>
        </w:rPr>
      </w:pPr>
      <w:bookmarkStart w:id="16" w:name="_Toc504482538"/>
      <w:r w:rsidRPr="004B6822">
        <w:rPr>
          <w:rFonts w:ascii="黑体" w:eastAsia="黑体" w:hAnsi="黑体" w:cs="Times New Roman" w:hint="eastAsia"/>
          <w:b/>
          <w:sz w:val="30"/>
          <w:szCs w:val="30"/>
        </w:rPr>
        <w:t>十一、评分标准</w:t>
      </w:r>
      <w:bookmarkEnd w:id="12"/>
      <w:bookmarkEnd w:id="16"/>
      <w:r w:rsidRPr="004B6822">
        <w:rPr>
          <w:rFonts w:ascii="黑体" w:eastAsia="黑体" w:hAnsi="黑体" w:cs="Times New Roman" w:hint="eastAsia"/>
          <w:b/>
          <w:sz w:val="30"/>
          <w:szCs w:val="30"/>
        </w:rPr>
        <w:t>及评分办法</w:t>
      </w:r>
    </w:p>
    <w:p w:rsidR="00521531" w:rsidRDefault="00E61E69">
      <w:pPr>
        <w:numPr>
          <w:ilvl w:val="0"/>
          <w:numId w:val="3"/>
        </w:numPr>
        <w:spacing w:line="560" w:lineRule="exact"/>
        <w:ind w:leftChars="200" w:left="420"/>
        <w:rPr>
          <w:rFonts w:ascii="仿宋" w:eastAsia="仿宋" w:hAnsi="仿宋" w:cs="仿宋"/>
          <w:b/>
          <w:bCs/>
          <w:sz w:val="28"/>
          <w:szCs w:val="28"/>
        </w:rPr>
      </w:pPr>
      <w:r>
        <w:rPr>
          <w:rFonts w:ascii="仿宋" w:eastAsia="仿宋" w:hAnsi="仿宋" w:cs="仿宋" w:hint="eastAsia"/>
          <w:b/>
          <w:bCs/>
          <w:sz w:val="28"/>
          <w:szCs w:val="28"/>
        </w:rPr>
        <w:t>评分标准</w:t>
      </w:r>
      <w:bookmarkStart w:id="17" w:name="_Toc460654219"/>
      <w:bookmarkStart w:id="18" w:name="_Toc504482541"/>
    </w:p>
    <w:p w:rsidR="00521531" w:rsidRDefault="00E61E69">
      <w:pPr>
        <w:spacing w:line="560" w:lineRule="exact"/>
        <w:ind w:firstLineChars="200" w:firstLine="56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竞赛项目满分为100分。其中机械电气系统安装15分、视觉系统安装编程调试10分、工业机器人系统编程调试25分、通信及测试程序编写20分、系统整体运行20分、职业素养与安全意识10分。具体评分细则如表5、表6所示。</w:t>
      </w:r>
    </w:p>
    <w:p w:rsidR="00521531" w:rsidRDefault="00E61E69">
      <w:pPr>
        <w:spacing w:line="560" w:lineRule="exact"/>
        <w:ind w:firstLineChars="200" w:firstLine="480"/>
        <w:jc w:val="center"/>
        <w:rPr>
          <w:rFonts w:ascii="仿宋" w:eastAsia="仿宋" w:hAnsi="仿宋" w:cs="仿宋"/>
          <w:color w:val="000000"/>
          <w:kern w:val="0"/>
          <w:sz w:val="24"/>
          <w:szCs w:val="28"/>
        </w:rPr>
      </w:pPr>
      <w:r>
        <w:rPr>
          <w:rFonts w:ascii="仿宋" w:eastAsia="仿宋" w:hAnsi="仿宋" w:cs="仿宋" w:hint="eastAsia"/>
          <w:color w:val="000000"/>
          <w:kern w:val="0"/>
          <w:sz w:val="24"/>
          <w:szCs w:val="28"/>
        </w:rPr>
        <w:t>表5评分细则</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50"/>
        <w:gridCol w:w="2977"/>
        <w:gridCol w:w="1701"/>
        <w:gridCol w:w="1468"/>
      </w:tblGrid>
      <w:tr w:rsidR="00521531">
        <w:trPr>
          <w:trHeight w:val="703"/>
          <w:jc w:val="center"/>
        </w:trPr>
        <w:tc>
          <w:tcPr>
            <w:tcW w:w="1526" w:type="dxa"/>
            <w:vAlign w:val="center"/>
          </w:tcPr>
          <w:p w:rsidR="00521531" w:rsidRDefault="00E61E69">
            <w:pPr>
              <w:jc w:val="left"/>
              <w:rPr>
                <w:rFonts w:ascii="仿宋" w:eastAsia="仿宋" w:hAnsi="仿宋" w:cs="仿宋"/>
                <w:b/>
                <w:color w:val="000000"/>
                <w:sz w:val="24"/>
              </w:rPr>
            </w:pPr>
            <w:r>
              <w:rPr>
                <w:rFonts w:ascii="仿宋" w:eastAsia="仿宋" w:hAnsi="仿宋" w:cs="仿宋" w:hint="eastAsia"/>
                <w:b/>
                <w:color w:val="000000"/>
                <w:sz w:val="24"/>
              </w:rPr>
              <w:t>比赛内容</w:t>
            </w:r>
          </w:p>
        </w:tc>
        <w:tc>
          <w:tcPr>
            <w:tcW w:w="850" w:type="dxa"/>
            <w:vAlign w:val="center"/>
          </w:tcPr>
          <w:p w:rsidR="00521531" w:rsidRDefault="00E61E69">
            <w:pPr>
              <w:jc w:val="center"/>
              <w:rPr>
                <w:rFonts w:ascii="仿宋" w:eastAsia="仿宋" w:hAnsi="仿宋" w:cs="仿宋"/>
                <w:b/>
                <w:color w:val="000000"/>
                <w:sz w:val="24"/>
              </w:rPr>
            </w:pPr>
            <w:r>
              <w:rPr>
                <w:rFonts w:ascii="仿宋" w:eastAsia="仿宋" w:hAnsi="仿宋" w:cs="仿宋" w:hint="eastAsia"/>
                <w:b/>
                <w:color w:val="000000"/>
                <w:sz w:val="24"/>
              </w:rPr>
              <w:t>分值</w:t>
            </w:r>
          </w:p>
        </w:tc>
        <w:tc>
          <w:tcPr>
            <w:tcW w:w="2977" w:type="dxa"/>
            <w:vAlign w:val="center"/>
          </w:tcPr>
          <w:p w:rsidR="00521531" w:rsidRDefault="00E61E69">
            <w:pPr>
              <w:jc w:val="center"/>
              <w:rPr>
                <w:rFonts w:ascii="仿宋" w:eastAsia="仿宋" w:hAnsi="仿宋" w:cs="仿宋"/>
                <w:b/>
                <w:color w:val="000000"/>
                <w:sz w:val="24"/>
              </w:rPr>
            </w:pPr>
            <w:r>
              <w:rPr>
                <w:rFonts w:ascii="仿宋" w:eastAsia="仿宋" w:hAnsi="仿宋" w:cs="仿宋" w:hint="eastAsia"/>
                <w:b/>
                <w:color w:val="000000"/>
                <w:sz w:val="24"/>
              </w:rPr>
              <w:t>评分方法</w:t>
            </w:r>
          </w:p>
        </w:tc>
        <w:tc>
          <w:tcPr>
            <w:tcW w:w="1701" w:type="dxa"/>
            <w:vAlign w:val="center"/>
          </w:tcPr>
          <w:p w:rsidR="00521531" w:rsidRDefault="00E61E69">
            <w:pPr>
              <w:jc w:val="center"/>
              <w:rPr>
                <w:rFonts w:ascii="仿宋" w:eastAsia="仿宋" w:hAnsi="仿宋" w:cs="仿宋"/>
                <w:b/>
                <w:color w:val="000000"/>
                <w:sz w:val="24"/>
              </w:rPr>
            </w:pPr>
            <w:r>
              <w:rPr>
                <w:rFonts w:ascii="仿宋" w:eastAsia="仿宋" w:hAnsi="仿宋" w:cs="仿宋" w:hint="eastAsia"/>
                <w:b/>
                <w:color w:val="000000"/>
                <w:sz w:val="24"/>
              </w:rPr>
              <w:t>审核方法</w:t>
            </w:r>
          </w:p>
        </w:tc>
        <w:tc>
          <w:tcPr>
            <w:tcW w:w="1468" w:type="dxa"/>
            <w:vAlign w:val="center"/>
          </w:tcPr>
          <w:p w:rsidR="00521531" w:rsidRDefault="00E61E69">
            <w:pPr>
              <w:jc w:val="center"/>
              <w:rPr>
                <w:rFonts w:ascii="仿宋" w:eastAsia="仿宋" w:hAnsi="仿宋" w:cs="仿宋"/>
                <w:b/>
                <w:color w:val="000000"/>
                <w:sz w:val="24"/>
              </w:rPr>
            </w:pPr>
            <w:r>
              <w:rPr>
                <w:rFonts w:ascii="仿宋" w:eastAsia="仿宋" w:hAnsi="仿宋" w:cs="仿宋" w:hint="eastAsia"/>
                <w:b/>
                <w:color w:val="000000"/>
                <w:sz w:val="24"/>
              </w:rPr>
              <w:t>公布方法</w:t>
            </w:r>
          </w:p>
        </w:tc>
      </w:tr>
      <w:tr w:rsidR="00521531">
        <w:trPr>
          <w:trHeight w:val="708"/>
          <w:jc w:val="center"/>
        </w:trPr>
        <w:tc>
          <w:tcPr>
            <w:tcW w:w="1526"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kern w:val="0"/>
                <w:sz w:val="24"/>
              </w:rPr>
              <w:t>机械电气系统安装</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15</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w:t>
            </w:r>
            <w:r>
              <w:rPr>
                <w:rFonts w:ascii="仿宋" w:eastAsia="仿宋" w:hAnsi="仿宋" w:cs="仿宋" w:hint="eastAsia"/>
                <w:color w:val="000000"/>
                <w:sz w:val="24"/>
              </w:rPr>
              <w:lastRenderedPageBreak/>
              <w:t>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lastRenderedPageBreak/>
              <w:t>大赛执委会公布</w:t>
            </w:r>
          </w:p>
        </w:tc>
      </w:tr>
      <w:tr w:rsidR="00521531">
        <w:trPr>
          <w:jc w:val="center"/>
        </w:trPr>
        <w:tc>
          <w:tcPr>
            <w:tcW w:w="1526"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kern w:val="0"/>
                <w:sz w:val="24"/>
              </w:rPr>
              <w:t>视觉系统安装编程调试</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10</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大赛执委会公布</w:t>
            </w:r>
          </w:p>
        </w:tc>
      </w:tr>
      <w:tr w:rsidR="00521531">
        <w:trPr>
          <w:jc w:val="center"/>
        </w:trPr>
        <w:tc>
          <w:tcPr>
            <w:tcW w:w="1526"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kern w:val="0"/>
                <w:sz w:val="24"/>
              </w:rPr>
              <w:t>工业机器人系统编程调试</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25</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大赛执委会公布</w:t>
            </w:r>
          </w:p>
        </w:tc>
      </w:tr>
      <w:tr w:rsidR="00521531">
        <w:trPr>
          <w:jc w:val="center"/>
        </w:trPr>
        <w:tc>
          <w:tcPr>
            <w:tcW w:w="152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通信及测试程序编写</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20</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大赛执委会公布</w:t>
            </w:r>
          </w:p>
        </w:tc>
      </w:tr>
      <w:tr w:rsidR="00521531">
        <w:trPr>
          <w:jc w:val="center"/>
        </w:trPr>
        <w:tc>
          <w:tcPr>
            <w:tcW w:w="152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机器人系统整体运行</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20</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大赛执委会公布</w:t>
            </w:r>
          </w:p>
        </w:tc>
      </w:tr>
      <w:tr w:rsidR="00521531">
        <w:trPr>
          <w:jc w:val="center"/>
        </w:trPr>
        <w:tc>
          <w:tcPr>
            <w:tcW w:w="1526"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职业素养与安全意识</w:t>
            </w:r>
          </w:p>
        </w:tc>
        <w:tc>
          <w:tcPr>
            <w:tcW w:w="850"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10</w:t>
            </w:r>
          </w:p>
        </w:tc>
        <w:tc>
          <w:tcPr>
            <w:tcW w:w="2977"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现场根据评分表评分</w:t>
            </w:r>
          </w:p>
        </w:tc>
        <w:tc>
          <w:tcPr>
            <w:tcW w:w="1701" w:type="dxa"/>
            <w:vAlign w:val="center"/>
          </w:tcPr>
          <w:p w:rsidR="00521531" w:rsidRDefault="00E61E69">
            <w:pPr>
              <w:jc w:val="left"/>
              <w:rPr>
                <w:rFonts w:ascii="仿宋" w:eastAsia="仿宋" w:hAnsi="仿宋" w:cs="仿宋"/>
                <w:color w:val="000000"/>
                <w:sz w:val="24"/>
              </w:rPr>
            </w:pPr>
            <w:r>
              <w:rPr>
                <w:rFonts w:ascii="仿宋" w:eastAsia="仿宋" w:hAnsi="仿宋" w:cs="仿宋" w:hint="eastAsia"/>
                <w:color w:val="000000"/>
                <w:sz w:val="24"/>
              </w:rPr>
              <w:t>参赛选手、现场评分裁判、监督签字</w:t>
            </w:r>
          </w:p>
        </w:tc>
        <w:tc>
          <w:tcPr>
            <w:tcW w:w="1468" w:type="dxa"/>
            <w:vAlign w:val="center"/>
          </w:tcPr>
          <w:p w:rsidR="00521531" w:rsidRDefault="00E61E69">
            <w:pPr>
              <w:jc w:val="center"/>
              <w:rPr>
                <w:rFonts w:ascii="仿宋" w:eastAsia="仿宋" w:hAnsi="仿宋" w:cs="仿宋"/>
                <w:color w:val="000000"/>
                <w:sz w:val="24"/>
              </w:rPr>
            </w:pPr>
            <w:r>
              <w:rPr>
                <w:rFonts w:ascii="仿宋" w:eastAsia="仿宋" w:hAnsi="仿宋" w:cs="仿宋" w:hint="eastAsia"/>
                <w:color w:val="000000"/>
                <w:sz w:val="24"/>
              </w:rPr>
              <w:t>大赛执委会公布</w:t>
            </w:r>
          </w:p>
        </w:tc>
      </w:tr>
    </w:tbl>
    <w:p w:rsidR="00521531" w:rsidRDefault="00521531" w:rsidP="004B6822">
      <w:pPr>
        <w:spacing w:line="560" w:lineRule="exact"/>
        <w:rPr>
          <w:rFonts w:ascii="仿宋" w:eastAsia="仿宋" w:hAnsi="仿宋" w:cs="仿宋"/>
          <w:color w:val="000000"/>
          <w:sz w:val="24"/>
          <w:szCs w:val="28"/>
        </w:rPr>
      </w:pPr>
    </w:p>
    <w:p w:rsidR="00521531" w:rsidRDefault="00E61E69">
      <w:pPr>
        <w:spacing w:line="560" w:lineRule="exact"/>
        <w:ind w:firstLineChars="200" w:firstLine="480"/>
        <w:jc w:val="center"/>
        <w:rPr>
          <w:rFonts w:ascii="仿宋" w:eastAsia="仿宋" w:hAnsi="仿宋" w:cs="仿宋"/>
          <w:color w:val="000000"/>
          <w:sz w:val="24"/>
          <w:szCs w:val="28"/>
        </w:rPr>
      </w:pPr>
      <w:r>
        <w:rPr>
          <w:rFonts w:ascii="仿宋" w:eastAsia="仿宋" w:hAnsi="仿宋" w:cs="仿宋" w:hint="eastAsia"/>
          <w:color w:val="000000"/>
          <w:sz w:val="24"/>
          <w:szCs w:val="28"/>
        </w:rPr>
        <w:t>表6 评分细则</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3449"/>
        <w:gridCol w:w="757"/>
        <w:gridCol w:w="3073"/>
      </w:tblGrid>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b/>
                <w:color w:val="000000"/>
                <w:kern w:val="0"/>
                <w:sz w:val="24"/>
              </w:rPr>
            </w:pPr>
            <w:r>
              <w:rPr>
                <w:rFonts w:ascii="仿宋" w:eastAsia="仿宋" w:hAnsi="仿宋" w:cs="仿宋" w:hint="eastAsia"/>
                <w:b/>
                <w:color w:val="000000"/>
                <w:kern w:val="0"/>
                <w:sz w:val="24"/>
              </w:rPr>
              <w:t>竟赛内容</w:t>
            </w:r>
          </w:p>
        </w:tc>
        <w:tc>
          <w:tcPr>
            <w:tcW w:w="4206" w:type="dxa"/>
            <w:gridSpan w:val="2"/>
          </w:tcPr>
          <w:p w:rsidR="00521531" w:rsidRDefault="00E61E69">
            <w:pPr>
              <w:adjustRightInd w:val="0"/>
              <w:snapToGrid w:val="0"/>
              <w:jc w:val="center"/>
              <w:rPr>
                <w:rFonts w:ascii="仿宋" w:eastAsia="仿宋" w:hAnsi="仿宋" w:cs="仿宋"/>
                <w:b/>
                <w:color w:val="000000"/>
                <w:kern w:val="0"/>
                <w:sz w:val="24"/>
              </w:rPr>
            </w:pPr>
            <w:r>
              <w:rPr>
                <w:rFonts w:ascii="仿宋" w:eastAsia="仿宋" w:hAnsi="仿宋" w:cs="仿宋" w:hint="eastAsia"/>
                <w:b/>
                <w:color w:val="000000"/>
                <w:kern w:val="0"/>
                <w:sz w:val="24"/>
              </w:rPr>
              <w:t>具体评分项</w:t>
            </w:r>
          </w:p>
        </w:tc>
        <w:tc>
          <w:tcPr>
            <w:tcW w:w="3073" w:type="dxa"/>
            <w:vMerge w:val="restart"/>
            <w:vAlign w:val="center"/>
          </w:tcPr>
          <w:p w:rsidR="00521531" w:rsidRDefault="00E61E69">
            <w:pPr>
              <w:adjustRightInd w:val="0"/>
              <w:snapToGrid w:val="0"/>
              <w:jc w:val="center"/>
              <w:rPr>
                <w:rFonts w:ascii="仿宋" w:eastAsia="仿宋" w:hAnsi="仿宋" w:cs="仿宋"/>
                <w:b/>
                <w:color w:val="000000"/>
                <w:kern w:val="0"/>
                <w:sz w:val="24"/>
              </w:rPr>
            </w:pPr>
            <w:r>
              <w:rPr>
                <w:rFonts w:ascii="仿宋" w:eastAsia="仿宋" w:hAnsi="仿宋" w:cs="仿宋" w:hint="eastAsia"/>
                <w:b/>
                <w:color w:val="000000"/>
                <w:kern w:val="0"/>
                <w:sz w:val="24"/>
              </w:rPr>
              <w:t>评分要求</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b/>
                <w:color w:val="000000"/>
                <w:kern w:val="0"/>
                <w:sz w:val="24"/>
              </w:rPr>
            </w:pPr>
          </w:p>
        </w:tc>
        <w:tc>
          <w:tcPr>
            <w:tcW w:w="3449" w:type="dxa"/>
          </w:tcPr>
          <w:p w:rsidR="00521531" w:rsidRDefault="00E61E69">
            <w:pPr>
              <w:adjustRightInd w:val="0"/>
              <w:snapToGrid w:val="0"/>
              <w:jc w:val="center"/>
              <w:rPr>
                <w:rFonts w:ascii="仿宋" w:eastAsia="仿宋" w:hAnsi="仿宋" w:cs="仿宋"/>
                <w:b/>
                <w:color w:val="000000"/>
                <w:kern w:val="0"/>
                <w:sz w:val="24"/>
              </w:rPr>
            </w:pPr>
            <w:r>
              <w:rPr>
                <w:rFonts w:ascii="仿宋" w:eastAsia="仿宋" w:hAnsi="仿宋" w:cs="仿宋" w:hint="eastAsia"/>
                <w:b/>
                <w:color w:val="000000"/>
                <w:kern w:val="0"/>
                <w:sz w:val="24"/>
              </w:rPr>
              <w:t>评分内容</w:t>
            </w:r>
          </w:p>
        </w:tc>
        <w:tc>
          <w:tcPr>
            <w:tcW w:w="757" w:type="dxa"/>
          </w:tcPr>
          <w:p w:rsidR="00521531" w:rsidRDefault="00E61E69">
            <w:pPr>
              <w:adjustRightInd w:val="0"/>
              <w:snapToGrid w:val="0"/>
              <w:jc w:val="center"/>
              <w:rPr>
                <w:rFonts w:ascii="仿宋" w:eastAsia="仿宋" w:hAnsi="仿宋" w:cs="仿宋"/>
                <w:b/>
                <w:color w:val="000000"/>
                <w:kern w:val="0"/>
                <w:sz w:val="24"/>
              </w:rPr>
            </w:pPr>
            <w:r>
              <w:rPr>
                <w:rFonts w:ascii="仿宋" w:eastAsia="仿宋" w:hAnsi="仿宋" w:cs="仿宋" w:hint="eastAsia"/>
                <w:b/>
                <w:color w:val="000000"/>
                <w:kern w:val="0"/>
                <w:sz w:val="24"/>
              </w:rPr>
              <w:t>配分</w:t>
            </w:r>
          </w:p>
        </w:tc>
        <w:tc>
          <w:tcPr>
            <w:tcW w:w="3073" w:type="dxa"/>
            <w:vMerge/>
            <w:vAlign w:val="center"/>
          </w:tcPr>
          <w:p w:rsidR="00521531" w:rsidRDefault="00521531">
            <w:pPr>
              <w:adjustRightInd w:val="0"/>
              <w:snapToGrid w:val="0"/>
              <w:jc w:val="center"/>
              <w:rPr>
                <w:rFonts w:ascii="仿宋" w:eastAsia="仿宋" w:hAnsi="仿宋" w:cs="仿宋"/>
                <w:b/>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机械电气系统安装（15分）</w:t>
            </w: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1.6轴关节型工业机器人附件、结构件安装；</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1.根据任务书的装配要求对机械系统部件正确的安装，安装坚固，传动组件调整顺畅等；</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2.电气线路连接正确，导线、号码管使用正确合理，驱动器、传感器等连接正确、走线合理；</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3.上电前安全检查，上电后初步检测元件工作是否正常，检查局部电路功能。</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2.6轴关节型工业机器人外围电路、气路连接；</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3.AGV移动机器人控制电路、电气连接和调试；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4.机器人系统相关流水线传感器、电气连接和安装；</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5.安全门、光栅等系统外围附件、电气安装；</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6.AGV上部输送线安装调试；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7.安全指示灯安装调试。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视觉系统安装编程调试</w:t>
            </w:r>
          </w:p>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（10分）</w:t>
            </w: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1.智能视觉系统安装与接线；</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1.相机系统硬件连接正确；</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2.能对工件的状态进行正确识别；</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3.能够把识别数据传输到机器人。</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2.智能视觉系统参数设置；</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3.智能视觉工件识别程序和流程编制；</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4.智能视觉检测程序编制；</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5.智能视觉与机器人通讯调试。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工业机器人系统编</w:t>
            </w:r>
            <w:r>
              <w:rPr>
                <w:rFonts w:ascii="仿宋" w:eastAsia="仿宋" w:hAnsi="仿宋" w:cs="仿宋" w:hint="eastAsia"/>
                <w:color w:val="000000"/>
                <w:kern w:val="0"/>
                <w:sz w:val="24"/>
              </w:rPr>
              <w:lastRenderedPageBreak/>
              <w:t>程调试（25分）</w:t>
            </w: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lastRenderedPageBreak/>
              <w:t>1.工业机器人基本参数设定；</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1.工业机器人各系统参数设定正确；</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lastRenderedPageBreak/>
              <w:t>2.对工业机器人的工具坐标和工件坐标进行标定；</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3.能根据任务书要求，完成规定程序示教编程；</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4.能对工业机器人程序进行调试。</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5.所有工业机器人的程序，必需通过示教器进行编程，程序由基本功能指令完成相关任务，不允许调用预制功能模块或预制子程序完成。</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2.坐标、工作空间等设定；</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2</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3.工业机器人工具、工件坐标系设定；</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4.基本测试程序示教；</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9</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4.工业机器人快换手爪的使用；</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4</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5.工业机器人在复杂环境中示教编程。</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通信及测试程序编写（20分）</w:t>
            </w: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1.码垛立体库的编程和调试；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1.码垛机、流水线等编程调试；</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2.变频器、伺服电机参数设置调试运行；</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3.触摸屏的各控制界面的绘制组态、控制现象显示、各控制界面切换。</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4.所有工业机器人的程序，必需通过示教器进行编程，程序由基本功能指令完成相关任务，不允许调用预制功能模块或预制子程序完成。</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2.机器人单元与视觉单元的通讯编程和调试；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3.机器人单元和主控系统的通讯和调试；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4.工件流水线、装配流水线编程和调试。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机器人系统整体运行（20分）</w:t>
            </w: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1.根据整体任务设计主控系统人机界面；</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1.PLC与工业机器人、视觉系统、码垛机器人等通讯联网正常；</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2.系统初始检查显示后，系统按照任务书要求启动、周期运行、停止、报警等处理；</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3.系统非常运行过程时，按照任务书要求对系统进行报警、停止以及作废处理等；</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4.所有工业机器人的程序，必需通过示教器进行编程，程序由基本功能指令完成相关任务，不允许调用预制功能模块或预制子程序完成。</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2.根据整体任务设计主控系统程序；</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3.系统整体任务运行调试。</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10</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restart"/>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职业素养与安全意识（10分）</w:t>
            </w:r>
          </w:p>
        </w:tc>
        <w:tc>
          <w:tcPr>
            <w:tcW w:w="3449" w:type="dxa"/>
            <w:vAlign w:val="center"/>
          </w:tcPr>
          <w:p w:rsidR="00521531" w:rsidRDefault="00E61E69">
            <w:pPr>
              <w:pStyle w:val="ListParagraph1"/>
              <w:adjustRightInd w:val="0"/>
              <w:snapToGrid w:val="0"/>
              <w:ind w:firstLineChars="0" w:firstLine="0"/>
              <w:jc w:val="left"/>
              <w:rPr>
                <w:rFonts w:ascii="仿宋" w:eastAsia="仿宋" w:hAnsi="仿宋" w:cs="仿宋"/>
                <w:color w:val="000000"/>
                <w:kern w:val="0"/>
                <w:sz w:val="24"/>
                <w:szCs w:val="24"/>
              </w:rPr>
            </w:pPr>
            <w:r>
              <w:rPr>
                <w:rFonts w:ascii="仿宋" w:eastAsia="仿宋" w:hAnsi="仿宋" w:cs="仿宋" w:hint="eastAsia"/>
                <w:color w:val="000000"/>
                <w:kern w:val="0"/>
                <w:sz w:val="24"/>
                <w:szCs w:val="24"/>
              </w:rPr>
              <w:t>1.</w:t>
            </w:r>
            <w:r>
              <w:rPr>
                <w:rFonts w:ascii="仿宋" w:eastAsia="仿宋" w:hAnsi="仿宋" w:cs="仿宋" w:hint="eastAsia"/>
                <w:color w:val="000000"/>
                <w:sz w:val="24"/>
              </w:rPr>
              <w:t>现场操作安全保护符合安全操作规程；</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restart"/>
            <w:vAlign w:val="center"/>
          </w:tcPr>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1.现场操作安全保护符合安全操作规程，穿戴符合职业岗位要求；</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lastRenderedPageBreak/>
              <w:t>2.工具比赛过程中各赛后未摆放整齐、节约使用耗材；</w:t>
            </w:r>
          </w:p>
          <w:p w:rsidR="00521531" w:rsidRDefault="00E61E69">
            <w:pPr>
              <w:adjustRightInd w:val="0"/>
              <w:snapToGrid w:val="0"/>
              <w:jc w:val="left"/>
              <w:rPr>
                <w:rFonts w:ascii="仿宋" w:eastAsia="仿宋" w:hAnsi="仿宋" w:cs="仿宋"/>
                <w:color w:val="000000"/>
                <w:kern w:val="0"/>
                <w:sz w:val="24"/>
              </w:rPr>
            </w:pPr>
            <w:r>
              <w:rPr>
                <w:rFonts w:ascii="仿宋" w:eastAsia="仿宋" w:hAnsi="仿宋" w:cs="仿宋" w:hint="eastAsia"/>
                <w:color w:val="000000"/>
                <w:kern w:val="0"/>
                <w:sz w:val="24"/>
              </w:rPr>
              <w:t>3.爱惜赛场的设备和器材，保持工位的整洁，团队分工有合作，遵守竞赛纪律，尊重裁判员、工作人员等。</w:t>
            </w: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pStyle w:val="ListParagraph1"/>
              <w:adjustRightInd w:val="0"/>
              <w:snapToGrid w:val="0"/>
              <w:ind w:firstLineChars="0" w:firstLine="0"/>
              <w:jc w:val="left"/>
              <w:rPr>
                <w:rFonts w:ascii="仿宋" w:eastAsia="仿宋" w:hAnsi="仿宋" w:cs="仿宋"/>
                <w:color w:val="000000"/>
                <w:kern w:val="0"/>
                <w:sz w:val="24"/>
                <w:szCs w:val="24"/>
              </w:rPr>
            </w:pPr>
            <w:r>
              <w:rPr>
                <w:rFonts w:ascii="仿宋" w:eastAsia="仿宋" w:hAnsi="仿宋" w:cs="仿宋" w:hint="eastAsia"/>
                <w:color w:val="000000"/>
                <w:kern w:val="0"/>
                <w:sz w:val="24"/>
                <w:szCs w:val="24"/>
              </w:rPr>
              <w:t>2.</w:t>
            </w:r>
            <w:r>
              <w:rPr>
                <w:rFonts w:ascii="仿宋" w:eastAsia="仿宋" w:hAnsi="仿宋" w:cs="仿宋" w:hint="eastAsia"/>
                <w:color w:val="000000"/>
                <w:sz w:val="24"/>
              </w:rPr>
              <w:t>工具摆放、包装物品、导线</w:t>
            </w:r>
            <w:r>
              <w:rPr>
                <w:rFonts w:ascii="仿宋" w:eastAsia="仿宋" w:hAnsi="仿宋" w:cs="仿宋" w:hint="eastAsia"/>
                <w:color w:val="000000"/>
                <w:sz w:val="24"/>
              </w:rPr>
              <w:lastRenderedPageBreak/>
              <w:t>线头等的处理符合职业岗位的要求</w:t>
            </w:r>
            <w:r>
              <w:rPr>
                <w:rFonts w:ascii="仿宋" w:eastAsia="仿宋" w:hAnsi="仿宋" w:cs="仿宋" w:hint="eastAsia"/>
                <w:color w:val="000000"/>
                <w:kern w:val="0"/>
                <w:sz w:val="24"/>
                <w:szCs w:val="24"/>
              </w:rPr>
              <w:t>；</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lastRenderedPageBreak/>
              <w:t>4</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r w:rsidR="00521531">
        <w:trPr>
          <w:trHeight w:val="20"/>
          <w:jc w:val="center"/>
        </w:trPr>
        <w:tc>
          <w:tcPr>
            <w:tcW w:w="1243" w:type="dxa"/>
            <w:vMerge/>
            <w:vAlign w:val="center"/>
          </w:tcPr>
          <w:p w:rsidR="00521531" w:rsidRDefault="00521531">
            <w:pPr>
              <w:adjustRightInd w:val="0"/>
              <w:snapToGrid w:val="0"/>
              <w:jc w:val="center"/>
              <w:rPr>
                <w:rFonts w:ascii="仿宋" w:eastAsia="仿宋" w:hAnsi="仿宋" w:cs="仿宋"/>
                <w:color w:val="000000"/>
                <w:kern w:val="0"/>
                <w:sz w:val="24"/>
              </w:rPr>
            </w:pPr>
          </w:p>
        </w:tc>
        <w:tc>
          <w:tcPr>
            <w:tcW w:w="3449" w:type="dxa"/>
            <w:vAlign w:val="center"/>
          </w:tcPr>
          <w:p w:rsidR="00521531" w:rsidRDefault="00E61E69">
            <w:pPr>
              <w:pStyle w:val="ListParagraph1"/>
              <w:adjustRightInd w:val="0"/>
              <w:snapToGrid w:val="0"/>
              <w:ind w:firstLineChars="0" w:firstLine="0"/>
              <w:jc w:val="left"/>
              <w:rPr>
                <w:rFonts w:ascii="仿宋" w:eastAsia="仿宋" w:hAnsi="仿宋" w:cs="仿宋"/>
                <w:color w:val="000000"/>
                <w:kern w:val="0"/>
                <w:sz w:val="24"/>
                <w:szCs w:val="24"/>
              </w:rPr>
            </w:pPr>
            <w:r>
              <w:rPr>
                <w:rFonts w:ascii="仿宋" w:eastAsia="仿宋" w:hAnsi="仿宋" w:cs="仿宋" w:hint="eastAsia"/>
                <w:color w:val="000000"/>
                <w:kern w:val="0"/>
                <w:sz w:val="24"/>
                <w:szCs w:val="24"/>
              </w:rPr>
              <w:t>3.</w:t>
            </w:r>
            <w:r>
              <w:rPr>
                <w:rFonts w:ascii="仿宋" w:eastAsia="仿宋" w:hAnsi="仿宋" w:cs="仿宋" w:hint="eastAsia"/>
                <w:color w:val="000000"/>
                <w:sz w:val="24"/>
              </w:rPr>
              <w:t>团队合作有有分工又合作，配合紧密；遵守赛场纪律，尊重赛场工作人员，爱惜赛场的设备和器材，保持工位的整洁</w:t>
            </w:r>
            <w:r>
              <w:rPr>
                <w:rFonts w:ascii="仿宋" w:eastAsia="仿宋" w:hAnsi="仿宋" w:cs="仿宋" w:hint="eastAsia"/>
                <w:color w:val="000000"/>
                <w:kern w:val="0"/>
                <w:sz w:val="24"/>
                <w:szCs w:val="24"/>
              </w:rPr>
              <w:t>。</w:t>
            </w:r>
          </w:p>
        </w:tc>
        <w:tc>
          <w:tcPr>
            <w:tcW w:w="75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w:t>
            </w:r>
          </w:p>
        </w:tc>
        <w:tc>
          <w:tcPr>
            <w:tcW w:w="3073" w:type="dxa"/>
            <w:vMerge/>
            <w:vAlign w:val="center"/>
          </w:tcPr>
          <w:p w:rsidR="00521531" w:rsidRDefault="00521531">
            <w:pPr>
              <w:adjustRightInd w:val="0"/>
              <w:snapToGrid w:val="0"/>
              <w:jc w:val="left"/>
              <w:rPr>
                <w:rFonts w:ascii="仿宋" w:eastAsia="仿宋" w:hAnsi="仿宋" w:cs="仿宋"/>
                <w:color w:val="000000"/>
                <w:kern w:val="0"/>
                <w:sz w:val="24"/>
              </w:rPr>
            </w:pPr>
          </w:p>
        </w:tc>
      </w:tr>
    </w:tbl>
    <w:p w:rsidR="00521531" w:rsidRDefault="00E61E69">
      <w:pPr>
        <w:spacing w:line="560" w:lineRule="exact"/>
        <w:ind w:firstLineChars="200" w:firstLine="560"/>
        <w:jc w:val="left"/>
        <w:rPr>
          <w:rFonts w:ascii="仿宋" w:eastAsia="仿宋" w:hAnsi="仿宋" w:cs="仿宋"/>
          <w:color w:val="000000"/>
          <w:kern w:val="0"/>
          <w:sz w:val="28"/>
          <w:szCs w:val="30"/>
        </w:rPr>
      </w:pPr>
      <w:r>
        <w:rPr>
          <w:rFonts w:ascii="仿宋" w:eastAsia="仿宋" w:hAnsi="仿宋" w:cs="仿宋" w:hint="eastAsia"/>
          <w:color w:val="000000"/>
          <w:kern w:val="0"/>
          <w:sz w:val="28"/>
          <w:szCs w:val="30"/>
        </w:rPr>
        <w:t>工业机器人技术应用赛项违规扣分按表7执行。</w:t>
      </w:r>
    </w:p>
    <w:p w:rsidR="00521531" w:rsidRDefault="00E61E69">
      <w:pPr>
        <w:spacing w:line="560" w:lineRule="exact"/>
        <w:ind w:firstLineChars="200" w:firstLine="480"/>
        <w:jc w:val="center"/>
        <w:rPr>
          <w:rFonts w:ascii="仿宋" w:eastAsia="仿宋" w:hAnsi="仿宋" w:cs="仿宋"/>
          <w:color w:val="000000"/>
          <w:sz w:val="24"/>
          <w:szCs w:val="30"/>
        </w:rPr>
      </w:pPr>
      <w:r>
        <w:rPr>
          <w:rFonts w:ascii="仿宋" w:eastAsia="仿宋" w:hAnsi="仿宋" w:cs="仿宋" w:hint="eastAsia"/>
          <w:color w:val="000000"/>
          <w:sz w:val="24"/>
          <w:szCs w:val="30"/>
        </w:rPr>
        <w:t>表7赛项违规扣分表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103"/>
        <w:gridCol w:w="2177"/>
      </w:tblGrid>
      <w:tr w:rsidR="00521531">
        <w:trPr>
          <w:trHeight w:val="574"/>
        </w:trPr>
        <w:tc>
          <w:tcPr>
            <w:tcW w:w="6345" w:type="dxa"/>
            <w:gridSpan w:val="2"/>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考核内容</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扣分标准</w:t>
            </w:r>
          </w:p>
        </w:tc>
      </w:tr>
      <w:tr w:rsidR="00521531">
        <w:trPr>
          <w:trHeight w:val="397"/>
        </w:trPr>
        <w:tc>
          <w:tcPr>
            <w:tcW w:w="1242" w:type="dxa"/>
            <w:vMerge w:val="restart"/>
            <w:vAlign w:val="center"/>
          </w:tcPr>
          <w:p w:rsidR="00521531" w:rsidRDefault="00E61E69">
            <w:pPr>
              <w:rPr>
                <w:rFonts w:ascii="仿宋" w:eastAsia="仿宋" w:hAnsi="仿宋" w:cs="仿宋"/>
                <w:color w:val="000000"/>
                <w:kern w:val="0"/>
                <w:sz w:val="24"/>
              </w:rPr>
            </w:pPr>
            <w:r>
              <w:rPr>
                <w:rFonts w:ascii="仿宋" w:eastAsia="仿宋" w:hAnsi="仿宋" w:cs="仿宋" w:hint="eastAsia"/>
                <w:color w:val="000000"/>
                <w:kern w:val="0"/>
                <w:sz w:val="24"/>
              </w:rPr>
              <w:t>操作不当破坏赛场提供的设备</w:t>
            </w: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工业机器人碰撞相机</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15分</w:t>
            </w:r>
          </w:p>
        </w:tc>
      </w:tr>
      <w:tr w:rsidR="00521531">
        <w:trPr>
          <w:trHeight w:val="397"/>
        </w:trPr>
        <w:tc>
          <w:tcPr>
            <w:tcW w:w="1242" w:type="dxa"/>
            <w:vMerge/>
            <w:vAlign w:val="center"/>
          </w:tcPr>
          <w:p w:rsidR="00521531" w:rsidRDefault="00521531">
            <w:pPr>
              <w:ind w:firstLineChars="100" w:firstLine="240"/>
              <w:jc w:val="center"/>
              <w:rPr>
                <w:rFonts w:ascii="仿宋" w:eastAsia="仿宋" w:hAnsi="仿宋" w:cs="仿宋"/>
                <w:color w:val="000000"/>
                <w:kern w:val="0"/>
                <w:sz w:val="24"/>
              </w:rPr>
            </w:pP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工业机器人气爪碰损</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10分</w:t>
            </w:r>
          </w:p>
        </w:tc>
      </w:tr>
      <w:tr w:rsidR="00521531">
        <w:trPr>
          <w:trHeight w:val="397"/>
        </w:trPr>
        <w:tc>
          <w:tcPr>
            <w:tcW w:w="1242" w:type="dxa"/>
            <w:vMerge/>
            <w:vAlign w:val="center"/>
          </w:tcPr>
          <w:p w:rsidR="00521531" w:rsidRDefault="00521531">
            <w:pPr>
              <w:ind w:firstLineChars="100" w:firstLine="240"/>
              <w:jc w:val="center"/>
              <w:rPr>
                <w:rFonts w:ascii="仿宋" w:eastAsia="仿宋" w:hAnsi="仿宋" w:cs="仿宋"/>
                <w:color w:val="000000"/>
                <w:kern w:val="0"/>
                <w:sz w:val="24"/>
              </w:rPr>
            </w:pP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空托盘损坏</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3分/次</w:t>
            </w:r>
          </w:p>
        </w:tc>
      </w:tr>
      <w:tr w:rsidR="00521531">
        <w:trPr>
          <w:trHeight w:val="397"/>
        </w:trPr>
        <w:tc>
          <w:tcPr>
            <w:tcW w:w="1242" w:type="dxa"/>
            <w:vMerge/>
            <w:vAlign w:val="center"/>
          </w:tcPr>
          <w:p w:rsidR="00521531" w:rsidRDefault="00521531">
            <w:pPr>
              <w:ind w:firstLineChars="100" w:firstLine="240"/>
              <w:jc w:val="center"/>
              <w:rPr>
                <w:rFonts w:ascii="仿宋" w:eastAsia="仿宋" w:hAnsi="仿宋" w:cs="仿宋"/>
                <w:color w:val="000000"/>
                <w:kern w:val="0"/>
                <w:sz w:val="24"/>
              </w:rPr>
            </w:pP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发生激光笔碰损</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5分</w:t>
            </w:r>
          </w:p>
        </w:tc>
      </w:tr>
      <w:tr w:rsidR="00521531">
        <w:trPr>
          <w:trHeight w:val="397"/>
        </w:trPr>
        <w:tc>
          <w:tcPr>
            <w:tcW w:w="1242" w:type="dxa"/>
            <w:vMerge/>
            <w:vAlign w:val="center"/>
          </w:tcPr>
          <w:p w:rsidR="00521531" w:rsidRDefault="00521531">
            <w:pPr>
              <w:ind w:firstLineChars="100" w:firstLine="240"/>
              <w:jc w:val="center"/>
              <w:rPr>
                <w:rFonts w:ascii="仿宋" w:eastAsia="仿宋" w:hAnsi="仿宋" w:cs="仿宋"/>
                <w:color w:val="000000"/>
                <w:kern w:val="0"/>
                <w:sz w:val="24"/>
              </w:rPr>
            </w:pP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工件损坏</w:t>
            </w:r>
          </w:p>
        </w:tc>
        <w:tc>
          <w:tcPr>
            <w:tcW w:w="2177" w:type="dxa"/>
            <w:vAlign w:val="center"/>
          </w:tcPr>
          <w:p w:rsidR="00521531" w:rsidRDefault="00E61E69">
            <w:pPr>
              <w:adjustRightInd w:val="0"/>
              <w:snapToGrid w:val="0"/>
              <w:jc w:val="center"/>
              <w:rPr>
                <w:rFonts w:ascii="仿宋" w:eastAsia="仿宋" w:hAnsi="仿宋" w:cs="仿宋"/>
                <w:color w:val="000000"/>
                <w:kern w:val="0"/>
                <w:sz w:val="24"/>
              </w:rPr>
            </w:pPr>
            <w:r>
              <w:rPr>
                <w:rFonts w:ascii="仿宋" w:eastAsia="仿宋" w:hAnsi="仿宋" w:cs="仿宋" w:hint="eastAsia"/>
                <w:color w:val="000000"/>
                <w:kern w:val="0"/>
                <w:sz w:val="24"/>
              </w:rPr>
              <w:t>1分/次</w:t>
            </w:r>
          </w:p>
        </w:tc>
      </w:tr>
      <w:tr w:rsidR="00521531">
        <w:trPr>
          <w:trHeight w:val="479"/>
        </w:trPr>
        <w:tc>
          <w:tcPr>
            <w:tcW w:w="6345" w:type="dxa"/>
            <w:gridSpan w:val="2"/>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调试过程中出现电路短路故障</w:t>
            </w:r>
          </w:p>
        </w:tc>
        <w:tc>
          <w:tcPr>
            <w:tcW w:w="2177"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扣30分</w:t>
            </w:r>
          </w:p>
        </w:tc>
      </w:tr>
      <w:tr w:rsidR="00521531">
        <w:trPr>
          <w:trHeight w:val="397"/>
        </w:trPr>
        <w:tc>
          <w:tcPr>
            <w:tcW w:w="6345" w:type="dxa"/>
            <w:gridSpan w:val="2"/>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传感器安装后发生接线错误导致设备损坏</w:t>
            </w:r>
          </w:p>
        </w:tc>
        <w:tc>
          <w:tcPr>
            <w:tcW w:w="2177"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视情节扣5-10分</w:t>
            </w:r>
          </w:p>
        </w:tc>
      </w:tr>
      <w:tr w:rsidR="00521531">
        <w:trPr>
          <w:trHeight w:val="397"/>
        </w:trPr>
        <w:tc>
          <w:tcPr>
            <w:tcW w:w="1242" w:type="dxa"/>
            <w:vMerge w:val="restart"/>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违反赛场纪律，扰乱赛场秩序</w:t>
            </w: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在裁判长发出开始比赛指令前，提前操作</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扣3分</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选手签名时，使用了真实姓名或者具体参赛队</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扣5分</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jc w:val="left"/>
              <w:rPr>
                <w:rFonts w:ascii="仿宋" w:eastAsia="仿宋" w:hAnsi="仿宋" w:cs="仿宋"/>
                <w:color w:val="000000"/>
                <w:kern w:val="0"/>
                <w:sz w:val="24"/>
              </w:rPr>
            </w:pPr>
            <w:r>
              <w:rPr>
                <w:rFonts w:ascii="仿宋" w:eastAsia="仿宋" w:hAnsi="仿宋" w:cs="仿宋" w:hint="eastAsia"/>
                <w:color w:val="000000"/>
                <w:kern w:val="0"/>
                <w:sz w:val="24"/>
              </w:rPr>
              <w:t>不服从裁判指令</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扣3分/次</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在裁判长发出结束比赛指令后，继续操作</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扣3分</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擅自离开本参赛队赛位</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取消比赛资格</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与其他赛位的选手交流</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取消比赛资格</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在赛场大声喧哗、无理取闹</w:t>
            </w:r>
          </w:p>
        </w:tc>
        <w:tc>
          <w:tcPr>
            <w:tcW w:w="2177" w:type="dxa"/>
            <w:vAlign w:val="center"/>
          </w:tcPr>
          <w:p w:rsidR="00521531" w:rsidRDefault="00E61E69">
            <w:pPr>
              <w:adjustRightInd w:val="0"/>
              <w:jc w:val="center"/>
              <w:rPr>
                <w:rFonts w:ascii="仿宋" w:eastAsia="仿宋" w:hAnsi="仿宋" w:cs="仿宋"/>
                <w:color w:val="000000"/>
                <w:kern w:val="0"/>
                <w:sz w:val="24"/>
              </w:rPr>
            </w:pPr>
            <w:r>
              <w:rPr>
                <w:rFonts w:ascii="仿宋" w:eastAsia="仿宋" w:hAnsi="仿宋" w:cs="仿宋" w:hint="eastAsia"/>
                <w:color w:val="000000"/>
                <w:kern w:val="0"/>
                <w:sz w:val="24"/>
              </w:rPr>
              <w:t>取消比赛资格</w:t>
            </w:r>
          </w:p>
        </w:tc>
      </w:tr>
      <w:tr w:rsidR="00521531">
        <w:trPr>
          <w:trHeight w:val="397"/>
        </w:trPr>
        <w:tc>
          <w:tcPr>
            <w:tcW w:w="1242" w:type="dxa"/>
            <w:vMerge/>
            <w:vAlign w:val="center"/>
          </w:tcPr>
          <w:p w:rsidR="00521531" w:rsidRDefault="00521531">
            <w:pPr>
              <w:jc w:val="left"/>
              <w:rPr>
                <w:rFonts w:ascii="仿宋" w:eastAsia="仿宋" w:hAnsi="仿宋" w:cs="仿宋"/>
                <w:color w:val="000000"/>
                <w:kern w:val="0"/>
                <w:sz w:val="24"/>
              </w:rPr>
            </w:pPr>
          </w:p>
        </w:tc>
        <w:tc>
          <w:tcPr>
            <w:tcW w:w="5103" w:type="dxa"/>
            <w:vAlign w:val="center"/>
          </w:tcPr>
          <w:p w:rsidR="00521531" w:rsidRDefault="00E61E69">
            <w:pPr>
              <w:adjustRightInd w:val="0"/>
              <w:jc w:val="left"/>
              <w:rPr>
                <w:rFonts w:ascii="仿宋" w:eastAsia="仿宋" w:hAnsi="仿宋" w:cs="仿宋"/>
                <w:color w:val="000000"/>
                <w:kern w:val="0"/>
                <w:sz w:val="24"/>
              </w:rPr>
            </w:pPr>
            <w:r>
              <w:rPr>
                <w:rFonts w:ascii="仿宋" w:eastAsia="仿宋" w:hAnsi="仿宋" w:cs="仿宋" w:hint="eastAsia"/>
                <w:color w:val="000000"/>
                <w:kern w:val="0"/>
                <w:sz w:val="24"/>
              </w:rPr>
              <w:t>携带纸张、U盘、手机等不允许携带的物品进场</w:t>
            </w:r>
          </w:p>
        </w:tc>
        <w:tc>
          <w:tcPr>
            <w:tcW w:w="2177" w:type="dxa"/>
            <w:vAlign w:val="center"/>
          </w:tcPr>
          <w:p w:rsidR="00521531" w:rsidRDefault="00E61E69">
            <w:pPr>
              <w:jc w:val="center"/>
              <w:rPr>
                <w:rFonts w:ascii="仿宋" w:eastAsia="仿宋" w:hAnsi="仿宋" w:cs="仿宋"/>
                <w:color w:val="000000"/>
                <w:kern w:val="0"/>
                <w:sz w:val="24"/>
              </w:rPr>
            </w:pPr>
            <w:r>
              <w:rPr>
                <w:rFonts w:ascii="仿宋" w:eastAsia="仿宋" w:hAnsi="仿宋" w:cs="仿宋" w:hint="eastAsia"/>
                <w:color w:val="000000"/>
                <w:kern w:val="0"/>
                <w:sz w:val="24"/>
              </w:rPr>
              <w:t>取消比赛资格</w:t>
            </w:r>
          </w:p>
        </w:tc>
      </w:tr>
    </w:tbl>
    <w:p w:rsidR="00521531" w:rsidRDefault="00E61E69">
      <w:pPr>
        <w:numPr>
          <w:ilvl w:val="0"/>
          <w:numId w:val="3"/>
        </w:numPr>
        <w:spacing w:line="560" w:lineRule="exact"/>
        <w:ind w:leftChars="200" w:left="420"/>
        <w:rPr>
          <w:rFonts w:ascii="仿宋" w:eastAsia="仿宋" w:hAnsi="仿宋" w:cs="仿宋"/>
          <w:b/>
          <w:bCs/>
          <w:sz w:val="28"/>
          <w:szCs w:val="28"/>
        </w:rPr>
      </w:pPr>
      <w:r>
        <w:rPr>
          <w:rFonts w:ascii="仿宋" w:eastAsia="仿宋" w:hAnsi="仿宋" w:cs="仿宋" w:hint="eastAsia"/>
          <w:b/>
          <w:bCs/>
          <w:sz w:val="28"/>
          <w:szCs w:val="28"/>
        </w:rPr>
        <w:t>评分方法</w:t>
      </w:r>
    </w:p>
    <w:p w:rsidR="00521531" w:rsidRDefault="00E61E69">
      <w:pPr>
        <w:ind w:firstLineChars="300" w:firstLine="840"/>
        <w:jc w:val="left"/>
        <w:rPr>
          <w:rFonts w:ascii="仿宋" w:eastAsia="仿宋" w:hAnsi="仿宋" w:cs="仿宋"/>
          <w:sz w:val="28"/>
          <w:szCs w:val="30"/>
        </w:rPr>
      </w:pPr>
      <w:r>
        <w:rPr>
          <w:rFonts w:ascii="仿宋" w:eastAsia="仿宋" w:hAnsi="仿宋" w:cs="仿宋" w:hint="eastAsia"/>
          <w:sz w:val="28"/>
          <w:szCs w:val="30"/>
        </w:rPr>
        <w:t>1.组织与分工</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 xml:space="preserve">（1）参与大赛赛项成绩管理的组织机构包括裁判组、监督组和仲裁组，受赛项执委会领导。 </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（2）裁判组实行“裁判长负责制”，设裁判长一名；加密裁判由竞赛办抽调人员担任；现场评定裁判以设备台套数为准，一套设备</w:t>
      </w:r>
      <w:r>
        <w:rPr>
          <w:rFonts w:ascii="仿宋" w:eastAsia="仿宋" w:hAnsi="仿宋" w:cs="仿宋" w:hint="eastAsia"/>
          <w:sz w:val="28"/>
          <w:szCs w:val="30"/>
        </w:rPr>
        <w:lastRenderedPageBreak/>
        <w:t>设一名评定裁判。</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检录工作人员负责对参赛队伍（选手）进行点名登记、身份核对等工作；加密裁判负责组织参赛队伍（选手）抽签，对参赛队信息、抽签代码等进行加密、解密工作；现场评定裁判按规定做好赛场记录，维护赛场纪律，对参赛队伍（选手）的比赛结果、比赛表现按赛项评分标准进行评定。</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（4）监督组对裁判组的工作进行全程监督，并对竞赛成绩抽检复核。</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（5）仲裁组负责接受由参赛队领队提出的对裁判结果的申诉，组织复议并及时反馈复议结果。</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 xml:space="preserve">　2.成绩评定方法</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 xml:space="preserve">　成绩评定是根据竞赛考核目标、内容对参赛队或选手在竞赛过程中的表现和最终成果做出评价。本赛项的评分方法为过程评分。过程评分是评定裁判对参赛队伍（选手）的比赛过程、比赛结果、比赛表现按赛项评分标准进行分段评定，评定时间包含在比赛时间内。</w:t>
      </w:r>
      <w:r w:rsidR="003068D9" w:rsidRPr="003068D9">
        <w:rPr>
          <w:rFonts w:ascii="仿宋" w:eastAsia="仿宋" w:hAnsi="仿宋" w:cs="仿宋" w:hint="eastAsia"/>
          <w:sz w:val="28"/>
          <w:szCs w:val="30"/>
        </w:rPr>
        <w:t>比赛成绩一样时，用时短者排名在前，如果用时都一样</w:t>
      </w:r>
      <w:r w:rsidR="003068D9">
        <w:rPr>
          <w:rFonts w:ascii="仿宋" w:eastAsia="仿宋" w:hAnsi="仿宋" w:cs="仿宋" w:hint="eastAsia"/>
          <w:sz w:val="28"/>
          <w:szCs w:val="30"/>
        </w:rPr>
        <w:t>则</w:t>
      </w:r>
      <w:r w:rsidR="003068D9" w:rsidRPr="003068D9">
        <w:rPr>
          <w:rFonts w:ascii="仿宋" w:eastAsia="仿宋" w:hAnsi="仿宋" w:cs="仿宋" w:hint="eastAsia"/>
          <w:sz w:val="28"/>
          <w:szCs w:val="30"/>
        </w:rPr>
        <w:t>先提交者，排名在前</w:t>
      </w:r>
      <w:r w:rsidR="003068D9">
        <w:rPr>
          <w:rFonts w:ascii="仿宋" w:eastAsia="仿宋" w:hAnsi="仿宋" w:cs="仿宋" w:hint="eastAsia"/>
          <w:sz w:val="28"/>
          <w:szCs w:val="30"/>
        </w:rPr>
        <w:t>。</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 xml:space="preserve">　所有的评分表、成绩汇总表备案以供核查，最终的成绩由裁判长进行审核确认并上报大赛组委会。</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 xml:space="preserve">　3.成绩公布方法</w:t>
      </w:r>
    </w:p>
    <w:p w:rsidR="00521531" w:rsidRDefault="00E61E69">
      <w:pPr>
        <w:ind w:firstLineChars="200" w:firstLine="560"/>
        <w:jc w:val="left"/>
        <w:rPr>
          <w:rFonts w:ascii="仿宋" w:eastAsia="仿宋" w:hAnsi="仿宋" w:cs="仿宋"/>
          <w:b/>
          <w:bCs/>
          <w:sz w:val="28"/>
          <w:szCs w:val="28"/>
        </w:rPr>
      </w:pPr>
      <w:r>
        <w:rPr>
          <w:rFonts w:ascii="仿宋" w:eastAsia="仿宋" w:hAnsi="仿宋" w:cs="仿宋" w:hint="eastAsia"/>
          <w:sz w:val="28"/>
          <w:szCs w:val="30"/>
        </w:rPr>
        <w:t xml:space="preserve">　赛项成绩在赛项结束后由大赛组委会负责公布最终成绩。任何组织和个人，不得擅自对大赛成绩进行涂改、伪造或用于欺诈等违法</w:t>
      </w:r>
      <w:r>
        <w:rPr>
          <w:rFonts w:ascii="仿宋" w:eastAsia="仿宋" w:hAnsi="仿宋" w:cs="仿宋" w:hint="eastAsia"/>
          <w:sz w:val="28"/>
          <w:szCs w:val="30"/>
        </w:rPr>
        <w:lastRenderedPageBreak/>
        <w:t>犯罪活动、如需使用大赛成绩，应报赛区执委会审批。</w:t>
      </w:r>
    </w:p>
    <w:p w:rsidR="00521531" w:rsidRPr="004B6822" w:rsidRDefault="00E61E69">
      <w:pPr>
        <w:spacing w:line="360" w:lineRule="auto"/>
        <w:ind w:firstLineChars="200" w:firstLine="602"/>
        <w:outlineLvl w:val="0"/>
        <w:rPr>
          <w:rFonts w:ascii="黑体" w:eastAsia="黑体" w:hAnsi="黑体" w:cs="Times New Roman"/>
          <w:b/>
          <w:sz w:val="30"/>
          <w:szCs w:val="30"/>
        </w:rPr>
      </w:pPr>
      <w:r w:rsidRPr="004B6822">
        <w:rPr>
          <w:rFonts w:ascii="黑体" w:eastAsia="黑体" w:hAnsi="黑体" w:cs="Times New Roman" w:hint="eastAsia"/>
          <w:b/>
          <w:sz w:val="30"/>
          <w:szCs w:val="30"/>
        </w:rPr>
        <w:t>十二、</w:t>
      </w:r>
      <w:bookmarkEnd w:id="17"/>
      <w:bookmarkEnd w:id="18"/>
      <w:r w:rsidRPr="004B6822">
        <w:rPr>
          <w:rFonts w:ascii="黑体" w:eastAsia="黑体" w:hAnsi="黑体" w:cs="Times New Roman" w:hint="eastAsia"/>
          <w:b/>
          <w:sz w:val="30"/>
          <w:szCs w:val="30"/>
        </w:rPr>
        <w:t>奖项设定</w:t>
      </w:r>
    </w:p>
    <w:p w:rsidR="004B6822" w:rsidRPr="00F2692A" w:rsidRDefault="004B6822" w:rsidP="004B6822">
      <w:pPr>
        <w:spacing w:line="360" w:lineRule="auto"/>
        <w:ind w:firstLineChars="200" w:firstLine="600"/>
        <w:jc w:val="left"/>
        <w:rPr>
          <w:rFonts w:ascii="仿宋_GB2312" w:eastAsia="仿宋_GB2312" w:hAnsi="仿宋"/>
          <w:kern w:val="0"/>
          <w:sz w:val="30"/>
          <w:szCs w:val="30"/>
        </w:rPr>
      </w:pPr>
      <w:r w:rsidRPr="00F2692A">
        <w:rPr>
          <w:rFonts w:ascii="仿宋_GB2312" w:eastAsia="仿宋_GB2312" w:hAnsi="仿宋"/>
          <w:kern w:val="0"/>
          <w:sz w:val="30"/>
          <w:szCs w:val="30"/>
        </w:rPr>
        <w:t>（一）参赛选手奖励本赛项设置团体一、二、三等奖，以赛项实际参赛队总数为基数，一、二、三等奖获奖比例分别为10%、20%、30%（小数点后四舍五</w:t>
      </w:r>
      <w:r w:rsidRPr="00F2692A">
        <w:rPr>
          <w:rFonts w:ascii="仿宋_GB2312" w:eastAsia="仿宋_GB2312" w:hAnsi="仿宋" w:hint="eastAsia"/>
          <w:kern w:val="0"/>
          <w:sz w:val="30"/>
          <w:szCs w:val="30"/>
        </w:rPr>
        <w:t>入）。分数相同时，排名取奖优先级。参照国赛要求，不因排名相同而多取奖，严格按照大赛文件取奖比例取奖。</w:t>
      </w:r>
    </w:p>
    <w:p w:rsidR="004B6822" w:rsidRPr="00F2692A" w:rsidRDefault="004B6822" w:rsidP="004B6822">
      <w:pPr>
        <w:spacing w:line="360" w:lineRule="auto"/>
        <w:ind w:firstLineChars="200" w:firstLine="600"/>
        <w:rPr>
          <w:rFonts w:ascii="仿宋_GB2312" w:eastAsia="仿宋_GB2312" w:hAnsi="仿宋"/>
          <w:kern w:val="0"/>
          <w:sz w:val="30"/>
          <w:szCs w:val="30"/>
        </w:rPr>
      </w:pPr>
      <w:r w:rsidRPr="00F2692A">
        <w:rPr>
          <w:rFonts w:ascii="仿宋_GB2312" w:eastAsia="仿宋_GB2312" w:hAnsi="仿宋"/>
          <w:kern w:val="0"/>
          <w:sz w:val="30"/>
          <w:szCs w:val="30"/>
        </w:rPr>
        <w:t>（二）获得一等奖的参赛队的指导教师</w:t>
      </w:r>
      <w:r w:rsidRPr="00F2692A">
        <w:rPr>
          <w:rFonts w:ascii="仿宋_GB2312" w:eastAsia="仿宋_GB2312" w:hAnsi="仿宋" w:hint="eastAsia"/>
          <w:kern w:val="0"/>
          <w:sz w:val="30"/>
          <w:szCs w:val="30"/>
        </w:rPr>
        <w:t>由</w:t>
      </w:r>
      <w:r w:rsidRPr="00F2692A">
        <w:rPr>
          <w:rFonts w:ascii="仿宋_GB2312" w:eastAsia="仿宋_GB2312" w:hAnsi="仿宋"/>
          <w:kern w:val="0"/>
          <w:sz w:val="30"/>
          <w:szCs w:val="30"/>
        </w:rPr>
        <w:t>大赛组委会</w:t>
      </w:r>
      <w:r w:rsidRPr="00F2692A">
        <w:rPr>
          <w:rFonts w:ascii="仿宋_GB2312" w:eastAsia="仿宋_GB2312" w:hAnsi="仿宋" w:hint="eastAsia"/>
          <w:kern w:val="0"/>
          <w:sz w:val="30"/>
          <w:szCs w:val="30"/>
        </w:rPr>
        <w:t>颁发</w:t>
      </w:r>
      <w:r w:rsidRPr="00F2692A">
        <w:rPr>
          <w:rFonts w:ascii="仿宋_GB2312" w:eastAsia="仿宋_GB2312" w:hAnsi="仿宋"/>
          <w:kern w:val="0"/>
          <w:sz w:val="30"/>
          <w:szCs w:val="30"/>
        </w:rPr>
        <w:t>证书</w:t>
      </w:r>
      <w:r w:rsidRPr="00F2692A">
        <w:rPr>
          <w:rFonts w:ascii="仿宋_GB2312" w:eastAsia="仿宋_GB2312" w:hAnsi="仿宋" w:hint="eastAsia"/>
          <w:kern w:val="0"/>
          <w:sz w:val="30"/>
          <w:szCs w:val="30"/>
        </w:rPr>
        <w:t>。</w:t>
      </w:r>
    </w:p>
    <w:p w:rsidR="00521531" w:rsidRPr="004B6822" w:rsidRDefault="00E61E69">
      <w:pPr>
        <w:spacing w:line="360" w:lineRule="auto"/>
        <w:ind w:firstLineChars="200" w:firstLine="602"/>
        <w:outlineLvl w:val="0"/>
        <w:rPr>
          <w:rFonts w:ascii="黑体" w:eastAsia="黑体" w:hAnsi="黑体" w:cs="Times New Roman"/>
          <w:b/>
          <w:sz w:val="30"/>
          <w:szCs w:val="30"/>
        </w:rPr>
      </w:pPr>
      <w:r w:rsidRPr="004B6822">
        <w:rPr>
          <w:rFonts w:ascii="黑体" w:eastAsia="黑体" w:hAnsi="黑体" w:cs="Times New Roman" w:hint="eastAsia"/>
          <w:b/>
          <w:sz w:val="30"/>
          <w:szCs w:val="30"/>
        </w:rPr>
        <w:t>十三、竞赛须知</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（一）参赛队须知</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1.参赛队名称</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统一使用“XX学校（院）代表队”名称。</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2.参赛队组成</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大赛按学校组队报名参赛。各学校根据本校情况，可报1-2个参赛队。</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“工业机器人技术应用”赛项由</w:t>
      </w:r>
      <w:r>
        <w:rPr>
          <w:rFonts w:ascii="仿宋" w:eastAsia="仿宋" w:hAnsi="仿宋" w:cs="仿宋"/>
          <w:sz w:val="28"/>
          <w:szCs w:val="30"/>
        </w:rPr>
        <w:t>2</w:t>
      </w:r>
      <w:r>
        <w:rPr>
          <w:rFonts w:ascii="仿宋" w:eastAsia="仿宋" w:hAnsi="仿宋" w:cs="仿宋" w:hint="eastAsia"/>
          <w:sz w:val="28"/>
          <w:szCs w:val="30"/>
        </w:rPr>
        <w:t>名参赛选手组成。参赛选手应全面掌握工业机器人技术应用技能。</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承办校对各参赛单位的参赛人员进行资格审查。参赛选手应为本校在籍的普通全日制学生，性别不限，年龄25周岁以下。往届全国职业院校技能大赛同类赛项中获得一等奖、二等奖的选手，不得参加同一项目同一组别的赛项。</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lastRenderedPageBreak/>
        <w:t>各参赛单位应为参赛选手购买比赛期间意外伤害保险，并将购买保险的凭证于比赛报道日交承办校保管。</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3.竞赛形式</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工业机器人技术应用技能竞赛，要求完成从码垛机到组装区域的工业控制流程，2名竞赛选手可自行分配题目要求的工作任务。</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4.指导教师</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工业机器人技术应用技能竞赛配指导教师1-2名。</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5.领队</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每参赛代表队指派领队1名（可由指导教师兼任），负责竞赛的协调工作。</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（二）领队、指导教师须知</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1.各参赛代表队要发扬良好道德风尚，听从指挥，服从裁判，不弄虚作假。如发现弄虚作假者，取消参赛资格，名次无效。</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2.各代表队领队要坚决执行竞赛的各项规定，加强对参赛人员的管理，做好赛前准备工作，督促选手带好证件等竞赛相关材料。</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3.竞赛过程中，除参加当场次竞赛的选手、执行裁判员、现场工作人员和经批准的人员外，领队、指导教师及其他人员一律不得进入竞赛现场。</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4.参赛代表队若对竞赛过程有异议，在规定的时间内由领队向赛项仲裁工作组提出书面报告。</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5.对申诉的仲裁结果，领队要带头服从和执行，并做好选手工作。参赛选手不得因申诉或对处理意见不服而停止竞赛，否则以弃权处</w:t>
      </w:r>
      <w:r>
        <w:rPr>
          <w:rFonts w:ascii="仿宋" w:eastAsia="仿宋" w:hAnsi="仿宋" w:cs="仿宋" w:hint="eastAsia"/>
          <w:sz w:val="28"/>
          <w:szCs w:val="30"/>
        </w:rPr>
        <w:lastRenderedPageBreak/>
        <w:t>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6.指导老师应认真研究和掌握本赛项竞赛的规程、技术规范和赛场要求，指导选手做好赛前的一切技术准备和竞赛准备。</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7.领队和指导教师应在赛后做好赛事总结和工作总结。</w:t>
      </w:r>
    </w:p>
    <w:p w:rsidR="00521531" w:rsidRDefault="00E61E69">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（三）参赛选手须知</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1.参赛选手应按有关要求如实填报个人信息，否则取消竞赛资格。</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2.参赛选手凭统一印制的参赛证和有效身份证件参加竞赛。</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3.参赛选手应认真学习领会本次竞赛相关文件，自觉遵守大赛纪律，服从指挥，听从安排，文明参赛。</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4.参赛选手请勿携带与竞赛无关的电子设备、通讯设备及其他资料与用品。</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5.参赛选手应提前30分钟抵达赛场，凭参赛证、身份证件检录，按要求入场，不得迟到早退。</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6.参赛选手应增强角色意识，严格执行财经法律法规，按照内部控制的要求，科学合理分工与合作。</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7.参赛选手应按有关要求在指定位置就坐。</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8.在竞赛过程中，如有疑问或遇竞赛用设备、软件等故障，参赛选手应按要求示意提问，竞赛裁判长、技术人员等应按照有关要求及时予以答疑、解决。确因计算机硬件或软件故障，致使操作无法继续的，经竞赛裁判长、技术人员等确认，准予启用备用计算机。如遇身体不适，参赛选手应即时示意，现场医务人员按应急预案救治。</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lastRenderedPageBreak/>
        <w:t>9.各参赛选手必须按规范要求操作竞赛设备。一旦出现较严重的安全事故，经裁判长批准后将立即取消其参赛资格。</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10.竞赛时间终了，选手应全体起立，结束操作。将资料和工具整齐摆放在操作平台上，经工作人员清点后方可离开赛场，离开赛场时不得带走任何资料。</w:t>
      </w:r>
    </w:p>
    <w:p w:rsidR="00521531" w:rsidRDefault="00E61E69">
      <w:pPr>
        <w:ind w:firstLineChars="200" w:firstLine="560"/>
        <w:jc w:val="left"/>
        <w:rPr>
          <w:rFonts w:ascii="仿宋" w:eastAsia="仿宋" w:hAnsi="仿宋" w:cs="仿宋"/>
          <w:b/>
          <w:bCs/>
          <w:sz w:val="28"/>
          <w:szCs w:val="28"/>
        </w:rPr>
      </w:pPr>
      <w:r>
        <w:rPr>
          <w:rFonts w:ascii="仿宋" w:eastAsia="仿宋" w:hAnsi="仿宋" w:cs="仿宋" w:hint="eastAsia"/>
          <w:sz w:val="28"/>
          <w:szCs w:val="30"/>
        </w:rPr>
        <w:t>11.在竞赛期间，未经执委会的批准，参赛选手不得接受其他单位和个人进行的与竞赛内容相关的采访。参赛选手不得将竞赛的相关信息私自公布。</w:t>
      </w:r>
    </w:p>
    <w:p w:rsidR="00521531" w:rsidRPr="004B6822" w:rsidRDefault="00E61E69">
      <w:pPr>
        <w:spacing w:line="360" w:lineRule="auto"/>
        <w:ind w:firstLineChars="200" w:firstLine="602"/>
        <w:outlineLvl w:val="0"/>
        <w:rPr>
          <w:rFonts w:ascii="黑体" w:eastAsia="黑体" w:hAnsi="黑体" w:cs="Times New Roman"/>
          <w:b/>
          <w:sz w:val="30"/>
          <w:szCs w:val="30"/>
        </w:rPr>
      </w:pPr>
      <w:r w:rsidRPr="004B6822">
        <w:rPr>
          <w:rFonts w:ascii="黑体" w:eastAsia="黑体" w:hAnsi="黑体" w:cs="Times New Roman" w:hint="eastAsia"/>
          <w:b/>
          <w:sz w:val="30"/>
          <w:szCs w:val="30"/>
        </w:rPr>
        <w:t>十四、赛项安全</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赛事安全是技能竞赛一切工作顺利开展的先决条件，是赛事筹备和运行工作必须考虑的核心问题。赛项工作组采取切实有效措施，保证大赛期间的参赛选手，指导教师，裁判员，工作人员及观众的人身安全。</w:t>
      </w:r>
      <w:r>
        <w:rPr>
          <w:rFonts w:ascii="仿宋" w:eastAsia="仿宋" w:hAnsi="仿宋" w:cs="仿宋" w:hint="eastAsia"/>
          <w:sz w:val="28"/>
          <w:szCs w:val="30"/>
        </w:rPr>
        <w:br/>
        <w:t xml:space="preserve">    （一）比赛环境。赛项工作组须在赛前组织专人对比赛现场住宿场所和交通保障进行考察，并对安全工作提出明确要求。赛场内的器材设备应符合国家有关安全规定，如有必要也可进行赛场仿真模拟测试，以发现可能出现的问题。</w:t>
      </w:r>
      <w:r>
        <w:rPr>
          <w:rFonts w:ascii="仿宋" w:eastAsia="仿宋" w:hAnsi="仿宋" w:cs="仿宋" w:hint="eastAsia"/>
          <w:sz w:val="28"/>
          <w:szCs w:val="30"/>
        </w:rPr>
        <w:br/>
        <w:t xml:space="preserve">    （二）赛场周围要设立警戒线，要求所有参赛人员必须凭工作组印发的有效证件进入场地，防止无关人员进入发生意外事件。比赛现场应参照相关职业岗位的要求，为选手提供必要的劳动保护。在具有危险性的操作环节，裁判员要严防选手出现错误操作。</w:t>
      </w:r>
      <w:r>
        <w:rPr>
          <w:rFonts w:ascii="仿宋" w:eastAsia="仿宋" w:hAnsi="仿宋" w:cs="仿宋" w:hint="eastAsia"/>
          <w:sz w:val="28"/>
          <w:szCs w:val="30"/>
        </w:rPr>
        <w:br/>
        <w:t xml:space="preserve">    （三）承办单位应提供保证应急预案实施的条件，对于比赛内容</w:t>
      </w:r>
      <w:r>
        <w:rPr>
          <w:rFonts w:ascii="仿宋" w:eastAsia="仿宋" w:hAnsi="仿宋" w:cs="仿宋" w:hint="eastAsia"/>
          <w:sz w:val="28"/>
          <w:szCs w:val="30"/>
        </w:rPr>
        <w:lastRenderedPageBreak/>
        <w:t>涉及高空作业可能最恶有大量硬件易发生火灾等情况的赛项，必须明确制度和预案，并配备急救人员与设施。</w:t>
      </w:r>
      <w:r>
        <w:rPr>
          <w:rFonts w:ascii="仿宋" w:eastAsia="仿宋" w:hAnsi="仿宋" w:cs="仿宋" w:hint="eastAsia"/>
          <w:sz w:val="28"/>
          <w:szCs w:val="30"/>
        </w:rPr>
        <w:br/>
        <w:t xml:space="preserve">    （四）严格控制与参赛无关的易燃易爆以及各类危险品进入比赛场地，不许随便携带书包进入赛场。</w:t>
      </w:r>
      <w:r>
        <w:rPr>
          <w:rFonts w:ascii="仿宋" w:eastAsia="仿宋" w:hAnsi="仿宋" w:cs="仿宋" w:hint="eastAsia"/>
          <w:sz w:val="28"/>
          <w:szCs w:val="30"/>
        </w:rPr>
        <w:br/>
        <w:t xml:space="preserve">    （五）赛项工作组制定开放赛场和体验区的人员疏导方案，赛场环境中存在人员密集，车流人流交错的区域，除了设置齐全的指示标识外，需增加引导人员，并开辟备用通道。</w:t>
      </w:r>
      <w:r>
        <w:rPr>
          <w:rFonts w:ascii="仿宋" w:eastAsia="仿宋" w:hAnsi="仿宋" w:cs="仿宋" w:hint="eastAsia"/>
          <w:sz w:val="28"/>
          <w:szCs w:val="30"/>
        </w:rPr>
        <w:br/>
        <w:t xml:space="preserve">    （六）大赛期间工作组须在赛管理的关键岗位增加力量，建立安全管理机制。</w:t>
      </w:r>
    </w:p>
    <w:p w:rsidR="00521531" w:rsidRPr="004B6822" w:rsidRDefault="00E61E69">
      <w:pPr>
        <w:spacing w:line="360" w:lineRule="auto"/>
        <w:ind w:firstLineChars="200" w:firstLine="602"/>
        <w:outlineLvl w:val="0"/>
        <w:rPr>
          <w:rFonts w:ascii="黑体" w:eastAsia="黑体" w:hAnsi="黑体" w:cs="Times New Roman"/>
          <w:b/>
          <w:sz w:val="30"/>
          <w:szCs w:val="30"/>
        </w:rPr>
      </w:pPr>
      <w:r w:rsidRPr="004B6822">
        <w:rPr>
          <w:rFonts w:ascii="黑体" w:eastAsia="黑体" w:hAnsi="黑体" w:cs="Times New Roman" w:hint="eastAsia"/>
          <w:b/>
          <w:sz w:val="30"/>
          <w:szCs w:val="30"/>
        </w:rPr>
        <w:t>十五、申诉与仲裁</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（一）各参赛队对不符合赛项规程规定的设备、工具、材料、计算机软硬件、竞赛执裁、赛场管理及工作人员的不规范行为等，可向赛项仲裁工作组提出申诉。</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（二）申诉主体为参赛队领队。</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（三）申诉启动时，参赛队以该队领队亲笔签字同意的书面报告的形式递交赛项仲裁工作组。报告应对申诉事件的现象、发生时间、涉及人员、申诉依据等进行充分、实事求是的叙述。非书面申诉不予受理。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（四）属于设备、</w:t>
      </w:r>
      <w:r>
        <w:rPr>
          <w:rFonts w:ascii="仿宋" w:eastAsia="仿宋" w:hAnsi="仿宋" w:cs="仿宋" w:hint="eastAsia"/>
          <w:sz w:val="28"/>
          <w:szCs w:val="28"/>
        </w:rPr>
        <w:t>工具、软件方面的申诉应在竞赛前一天熟悉竞赛环境结束后2小时内提出；其他方面的申诉应在本环节竞赛结束后2小时内提出，</w:t>
      </w:r>
      <w:r>
        <w:rPr>
          <w:rFonts w:ascii="仿宋" w:eastAsia="仿宋" w:hAnsi="仿宋" w:cs="仿宋" w:hint="eastAsia"/>
          <w:sz w:val="28"/>
          <w:szCs w:val="30"/>
        </w:rPr>
        <w:t>超过2小时不予受理。</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（五）赛项仲裁工作组在接到申诉报告后的2小时内组织复议，</w:t>
      </w:r>
      <w:r>
        <w:rPr>
          <w:rFonts w:ascii="仿宋" w:eastAsia="仿宋" w:hAnsi="仿宋" w:cs="仿宋" w:hint="eastAsia"/>
          <w:sz w:val="28"/>
          <w:szCs w:val="30"/>
        </w:rPr>
        <w:lastRenderedPageBreak/>
        <w:t>并及时将复议结果以书面形式告知申诉方。申诉方对复议结果仍有异议，可由领队向大赛组委会办公室提出申诉。大赛组委会办公室的仲裁结果为最终结果。</w:t>
      </w:r>
    </w:p>
    <w:p w:rsidR="00521531" w:rsidRDefault="00E61E69">
      <w:pPr>
        <w:ind w:firstLineChars="200" w:firstLine="560"/>
        <w:jc w:val="left"/>
        <w:rPr>
          <w:rFonts w:ascii="仿宋" w:eastAsia="仿宋" w:hAnsi="仿宋" w:cs="仿宋"/>
          <w:sz w:val="28"/>
          <w:szCs w:val="30"/>
        </w:rPr>
      </w:pPr>
      <w:r>
        <w:rPr>
          <w:rFonts w:ascii="仿宋" w:eastAsia="仿宋" w:hAnsi="仿宋" w:cs="仿宋" w:hint="eastAsia"/>
          <w:sz w:val="28"/>
          <w:szCs w:val="30"/>
        </w:rPr>
        <w:t>（六）申诉方不得以任何理由拒绝接收仲裁结果；不得以任何理由采取过激行为扰乱赛场秩序；仲裁结果由申诉人签收，不能代收；如在约定时间和地点申诉人离开，视为自行放弃申诉。</w:t>
      </w:r>
    </w:p>
    <w:p w:rsidR="00521531" w:rsidRDefault="00521531">
      <w:pPr>
        <w:pStyle w:val="5-"/>
        <w:adjustRightInd w:val="0"/>
        <w:snapToGrid w:val="0"/>
        <w:spacing w:beforeLines="0" w:afterLines="0" w:line="560" w:lineRule="exact"/>
        <w:ind w:right="280" w:firstLine="560"/>
        <w:jc w:val="right"/>
        <w:rPr>
          <w:rFonts w:ascii="仿宋" w:eastAsia="仿宋" w:hAnsi="仿宋" w:cs="仿宋"/>
          <w:color w:val="000000"/>
        </w:rPr>
      </w:pPr>
    </w:p>
    <w:sectPr w:rsidR="00521531">
      <w:headerReference w:type="default" r:id="rId23"/>
      <w:footerReference w:type="default" r:id="rId24"/>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7E32" w:rsidRDefault="00C47E32">
      <w:r>
        <w:separator/>
      </w:r>
    </w:p>
  </w:endnote>
  <w:endnote w:type="continuationSeparator" w:id="0">
    <w:p w:rsidR="00C47E32" w:rsidRDefault="00C47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0030101010101"/>
    <w:charset w:val="86"/>
    <w:family w:val="modern"/>
    <w:pitch w:val="fixed"/>
    <w:sig w:usb0="800002BF" w:usb1="38CF7CFA" w:usb2="00000016" w:usb3="00000000" w:csb0="00040001" w:csb1="00000000"/>
  </w:font>
  <w:font w:name="monospace">
    <w:altName w:val="Times New Roman"/>
    <w:charset w:val="00"/>
    <w:family w:val="auto"/>
    <w:pitch w:val="default"/>
  </w:font>
  <w:font w:name="仿宋_GB2312">
    <w:altName w:val="仿宋"/>
    <w:charset w:val="86"/>
    <w:family w:val="modern"/>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4180025"/>
      <w:docPartObj>
        <w:docPartGallery w:val="Page Numbers (Bottom of Page)"/>
        <w:docPartUnique/>
      </w:docPartObj>
    </w:sdtPr>
    <w:sdtEndPr/>
    <w:sdtContent>
      <w:p w:rsidR="00805818" w:rsidRDefault="00805818">
        <w:pPr>
          <w:pStyle w:val="ac"/>
          <w:jc w:val="center"/>
        </w:pPr>
        <w:r>
          <w:fldChar w:fldCharType="begin"/>
        </w:r>
        <w:r>
          <w:instrText>PAGE   \* MERGEFORMAT</w:instrText>
        </w:r>
        <w:r>
          <w:fldChar w:fldCharType="separate"/>
        </w:r>
        <w:r w:rsidR="00D54E40" w:rsidRPr="00D54E40">
          <w:rPr>
            <w:noProof/>
            <w:lang w:val="zh-CN"/>
          </w:rPr>
          <w:t>5</w:t>
        </w:r>
        <w:r>
          <w:fldChar w:fldCharType="end"/>
        </w:r>
      </w:p>
    </w:sdtContent>
  </w:sdt>
  <w:p w:rsidR="00521531" w:rsidRDefault="00521531">
    <w:pPr>
      <w:pStyle w:val="a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7E32" w:rsidRDefault="00C47E32">
      <w:r>
        <w:separator/>
      </w:r>
    </w:p>
  </w:footnote>
  <w:footnote w:type="continuationSeparator" w:id="0">
    <w:p w:rsidR="00C47E32" w:rsidRDefault="00C47E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1531" w:rsidRDefault="00521531">
    <w:pPr>
      <w:pStyle w:val="a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8DD63E"/>
    <w:multiLevelType w:val="singleLevel"/>
    <w:tmpl w:val="318DD63E"/>
    <w:lvl w:ilvl="0">
      <w:start w:val="2"/>
      <w:numFmt w:val="chineseCounting"/>
      <w:suff w:val="nothing"/>
      <w:lvlText w:val="（%1）"/>
      <w:lvlJc w:val="left"/>
      <w:rPr>
        <w:rFonts w:hint="eastAsia"/>
      </w:rPr>
    </w:lvl>
  </w:abstractNum>
  <w:abstractNum w:abstractNumId="1" w15:restartNumberingAfterBreak="0">
    <w:nsid w:val="558CB77A"/>
    <w:multiLevelType w:val="singleLevel"/>
    <w:tmpl w:val="558CB77A"/>
    <w:lvl w:ilvl="0">
      <w:start w:val="1"/>
      <w:numFmt w:val="decimal"/>
      <w:suff w:val="space"/>
      <w:lvlText w:val="%1）"/>
      <w:lvlJc w:val="left"/>
    </w:lvl>
  </w:abstractNum>
  <w:abstractNum w:abstractNumId="2" w15:restartNumberingAfterBreak="0">
    <w:nsid w:val="6814BAE6"/>
    <w:multiLevelType w:val="singleLevel"/>
    <w:tmpl w:val="6814BAE6"/>
    <w:lvl w:ilvl="0">
      <w:start w:val="1"/>
      <w:numFmt w:val="chineseCounting"/>
      <w:suff w:val="nothing"/>
      <w:lvlText w:val="（%1）"/>
      <w:lvlJc w:val="left"/>
      <w:rPr>
        <w:rFonts w:hint="eastAsia"/>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4E0F22"/>
    <w:rsid w:val="0000278C"/>
    <w:rsid w:val="00035709"/>
    <w:rsid w:val="00036846"/>
    <w:rsid w:val="0003690E"/>
    <w:rsid w:val="00043C10"/>
    <w:rsid w:val="00043F0A"/>
    <w:rsid w:val="00054953"/>
    <w:rsid w:val="00060E9A"/>
    <w:rsid w:val="00062994"/>
    <w:rsid w:val="00065492"/>
    <w:rsid w:val="0008326B"/>
    <w:rsid w:val="00092F03"/>
    <w:rsid w:val="00096380"/>
    <w:rsid w:val="000A092C"/>
    <w:rsid w:val="000A3948"/>
    <w:rsid w:val="000B05FA"/>
    <w:rsid w:val="000B0B04"/>
    <w:rsid w:val="000C44B2"/>
    <w:rsid w:val="000D58D7"/>
    <w:rsid w:val="000E3A82"/>
    <w:rsid w:val="000F1601"/>
    <w:rsid w:val="000F6BC7"/>
    <w:rsid w:val="001107D8"/>
    <w:rsid w:val="0011130C"/>
    <w:rsid w:val="00121CB9"/>
    <w:rsid w:val="00122A0E"/>
    <w:rsid w:val="001322BB"/>
    <w:rsid w:val="0013403C"/>
    <w:rsid w:val="00135058"/>
    <w:rsid w:val="00153FAE"/>
    <w:rsid w:val="00163FDF"/>
    <w:rsid w:val="00182D5A"/>
    <w:rsid w:val="00191DFA"/>
    <w:rsid w:val="0019353D"/>
    <w:rsid w:val="00195A8B"/>
    <w:rsid w:val="001A4432"/>
    <w:rsid w:val="001B6885"/>
    <w:rsid w:val="001C0B15"/>
    <w:rsid w:val="001C25B0"/>
    <w:rsid w:val="001C2961"/>
    <w:rsid w:val="001C600D"/>
    <w:rsid w:val="001D03F1"/>
    <w:rsid w:val="001F075A"/>
    <w:rsid w:val="00207C1F"/>
    <w:rsid w:val="002136F1"/>
    <w:rsid w:val="00216E4A"/>
    <w:rsid w:val="00222B44"/>
    <w:rsid w:val="00234010"/>
    <w:rsid w:val="002376BA"/>
    <w:rsid w:val="00242DA9"/>
    <w:rsid w:val="00265D9D"/>
    <w:rsid w:val="00271214"/>
    <w:rsid w:val="0027332D"/>
    <w:rsid w:val="00283F48"/>
    <w:rsid w:val="00285008"/>
    <w:rsid w:val="00291276"/>
    <w:rsid w:val="00295B1C"/>
    <w:rsid w:val="002A08EB"/>
    <w:rsid w:val="002A2D9A"/>
    <w:rsid w:val="002B3F56"/>
    <w:rsid w:val="002D1CE5"/>
    <w:rsid w:val="002D5901"/>
    <w:rsid w:val="002F02CC"/>
    <w:rsid w:val="002F3C31"/>
    <w:rsid w:val="003068D9"/>
    <w:rsid w:val="00315E58"/>
    <w:rsid w:val="003222E8"/>
    <w:rsid w:val="003308E7"/>
    <w:rsid w:val="00340595"/>
    <w:rsid w:val="00355B29"/>
    <w:rsid w:val="00360870"/>
    <w:rsid w:val="00372692"/>
    <w:rsid w:val="00386B3B"/>
    <w:rsid w:val="00395B47"/>
    <w:rsid w:val="003A0E9F"/>
    <w:rsid w:val="003A32F9"/>
    <w:rsid w:val="003B1889"/>
    <w:rsid w:val="003B5CCA"/>
    <w:rsid w:val="003B6F13"/>
    <w:rsid w:val="003C64C1"/>
    <w:rsid w:val="003D0904"/>
    <w:rsid w:val="003D53E9"/>
    <w:rsid w:val="003D5BA2"/>
    <w:rsid w:val="003E585D"/>
    <w:rsid w:val="003F4AB4"/>
    <w:rsid w:val="00400E0B"/>
    <w:rsid w:val="0041797A"/>
    <w:rsid w:val="0042517E"/>
    <w:rsid w:val="0043626F"/>
    <w:rsid w:val="004523D8"/>
    <w:rsid w:val="00452773"/>
    <w:rsid w:val="00453EB2"/>
    <w:rsid w:val="00463DC0"/>
    <w:rsid w:val="00463FDC"/>
    <w:rsid w:val="00480C30"/>
    <w:rsid w:val="00487DE1"/>
    <w:rsid w:val="004A68A4"/>
    <w:rsid w:val="004B29D9"/>
    <w:rsid w:val="004B3684"/>
    <w:rsid w:val="004B5466"/>
    <w:rsid w:val="004B6822"/>
    <w:rsid w:val="004C0431"/>
    <w:rsid w:val="004C2D27"/>
    <w:rsid w:val="004C6BE0"/>
    <w:rsid w:val="004D1745"/>
    <w:rsid w:val="004D5FE6"/>
    <w:rsid w:val="004E0F22"/>
    <w:rsid w:val="004E68B1"/>
    <w:rsid w:val="005057DB"/>
    <w:rsid w:val="0050586A"/>
    <w:rsid w:val="00505E46"/>
    <w:rsid w:val="00516EB0"/>
    <w:rsid w:val="00521531"/>
    <w:rsid w:val="005279B3"/>
    <w:rsid w:val="00531751"/>
    <w:rsid w:val="00542346"/>
    <w:rsid w:val="005540BB"/>
    <w:rsid w:val="0055720E"/>
    <w:rsid w:val="00563BB6"/>
    <w:rsid w:val="005643C5"/>
    <w:rsid w:val="00565244"/>
    <w:rsid w:val="00584959"/>
    <w:rsid w:val="00584B84"/>
    <w:rsid w:val="005879AF"/>
    <w:rsid w:val="00587BC4"/>
    <w:rsid w:val="005A238C"/>
    <w:rsid w:val="005B6F5C"/>
    <w:rsid w:val="005C0FA4"/>
    <w:rsid w:val="005C1B83"/>
    <w:rsid w:val="005C369C"/>
    <w:rsid w:val="005F0412"/>
    <w:rsid w:val="00605D23"/>
    <w:rsid w:val="00606558"/>
    <w:rsid w:val="00606855"/>
    <w:rsid w:val="006072A3"/>
    <w:rsid w:val="00610E1F"/>
    <w:rsid w:val="00617019"/>
    <w:rsid w:val="00626CEA"/>
    <w:rsid w:val="00630BFD"/>
    <w:rsid w:val="00632C0F"/>
    <w:rsid w:val="00634780"/>
    <w:rsid w:val="0065478C"/>
    <w:rsid w:val="0066710F"/>
    <w:rsid w:val="00677FA2"/>
    <w:rsid w:val="006A1854"/>
    <w:rsid w:val="006B38A0"/>
    <w:rsid w:val="006E4AF6"/>
    <w:rsid w:val="006F0D5B"/>
    <w:rsid w:val="00710FF5"/>
    <w:rsid w:val="00711A0A"/>
    <w:rsid w:val="0071523D"/>
    <w:rsid w:val="00715640"/>
    <w:rsid w:val="00720788"/>
    <w:rsid w:val="00727DB2"/>
    <w:rsid w:val="007356A3"/>
    <w:rsid w:val="007376F8"/>
    <w:rsid w:val="0073773D"/>
    <w:rsid w:val="00743B76"/>
    <w:rsid w:val="00744EEE"/>
    <w:rsid w:val="007623FE"/>
    <w:rsid w:val="007664CA"/>
    <w:rsid w:val="00770426"/>
    <w:rsid w:val="007709FC"/>
    <w:rsid w:val="0077235A"/>
    <w:rsid w:val="007724BA"/>
    <w:rsid w:val="0077640F"/>
    <w:rsid w:val="0078248E"/>
    <w:rsid w:val="0078551F"/>
    <w:rsid w:val="00792EF3"/>
    <w:rsid w:val="0079480E"/>
    <w:rsid w:val="00797BF7"/>
    <w:rsid w:val="007B549F"/>
    <w:rsid w:val="007B62DC"/>
    <w:rsid w:val="007C0DE7"/>
    <w:rsid w:val="007C16F4"/>
    <w:rsid w:val="007C3176"/>
    <w:rsid w:val="007C5333"/>
    <w:rsid w:val="007D5631"/>
    <w:rsid w:val="007F5186"/>
    <w:rsid w:val="00801886"/>
    <w:rsid w:val="00805818"/>
    <w:rsid w:val="0081341E"/>
    <w:rsid w:val="00813C17"/>
    <w:rsid w:val="00814DAA"/>
    <w:rsid w:val="0082544F"/>
    <w:rsid w:val="00830273"/>
    <w:rsid w:val="00836BF6"/>
    <w:rsid w:val="00844246"/>
    <w:rsid w:val="00847D31"/>
    <w:rsid w:val="00851F5B"/>
    <w:rsid w:val="00852B88"/>
    <w:rsid w:val="0087656C"/>
    <w:rsid w:val="00886661"/>
    <w:rsid w:val="00893125"/>
    <w:rsid w:val="008936BC"/>
    <w:rsid w:val="00895042"/>
    <w:rsid w:val="0089617E"/>
    <w:rsid w:val="00896C8C"/>
    <w:rsid w:val="008A0B23"/>
    <w:rsid w:val="008A4B02"/>
    <w:rsid w:val="008A5850"/>
    <w:rsid w:val="008A7211"/>
    <w:rsid w:val="008C2C3E"/>
    <w:rsid w:val="008D49F8"/>
    <w:rsid w:val="008F00F1"/>
    <w:rsid w:val="008F40B8"/>
    <w:rsid w:val="00901203"/>
    <w:rsid w:val="0092165C"/>
    <w:rsid w:val="00923A87"/>
    <w:rsid w:val="009243AE"/>
    <w:rsid w:val="00940A6D"/>
    <w:rsid w:val="00946AA0"/>
    <w:rsid w:val="009500CD"/>
    <w:rsid w:val="0095405B"/>
    <w:rsid w:val="00963F8B"/>
    <w:rsid w:val="009676C0"/>
    <w:rsid w:val="00981B4D"/>
    <w:rsid w:val="00982B5B"/>
    <w:rsid w:val="00983316"/>
    <w:rsid w:val="00992B8D"/>
    <w:rsid w:val="009A1791"/>
    <w:rsid w:val="009B6ED9"/>
    <w:rsid w:val="009C444E"/>
    <w:rsid w:val="009D0E52"/>
    <w:rsid w:val="009D3593"/>
    <w:rsid w:val="009E0EDE"/>
    <w:rsid w:val="009F14D4"/>
    <w:rsid w:val="009F1BEB"/>
    <w:rsid w:val="009F5D03"/>
    <w:rsid w:val="009F7A0C"/>
    <w:rsid w:val="009F7E16"/>
    <w:rsid w:val="00A12727"/>
    <w:rsid w:val="00A22908"/>
    <w:rsid w:val="00A2298C"/>
    <w:rsid w:val="00A3112B"/>
    <w:rsid w:val="00A43CBB"/>
    <w:rsid w:val="00A515F7"/>
    <w:rsid w:val="00A5397F"/>
    <w:rsid w:val="00A62993"/>
    <w:rsid w:val="00A720A6"/>
    <w:rsid w:val="00A74089"/>
    <w:rsid w:val="00A806FA"/>
    <w:rsid w:val="00A82F0F"/>
    <w:rsid w:val="00A85FCF"/>
    <w:rsid w:val="00A90793"/>
    <w:rsid w:val="00A93F89"/>
    <w:rsid w:val="00A94601"/>
    <w:rsid w:val="00AB3C10"/>
    <w:rsid w:val="00AB54BC"/>
    <w:rsid w:val="00AB65E4"/>
    <w:rsid w:val="00AD68C2"/>
    <w:rsid w:val="00AD6CA5"/>
    <w:rsid w:val="00AE1888"/>
    <w:rsid w:val="00AE3E93"/>
    <w:rsid w:val="00B03C2B"/>
    <w:rsid w:val="00B21B36"/>
    <w:rsid w:val="00B35689"/>
    <w:rsid w:val="00B60DA0"/>
    <w:rsid w:val="00B650C3"/>
    <w:rsid w:val="00B66486"/>
    <w:rsid w:val="00B76BD0"/>
    <w:rsid w:val="00B76DD1"/>
    <w:rsid w:val="00B8227E"/>
    <w:rsid w:val="00B8510A"/>
    <w:rsid w:val="00B905C0"/>
    <w:rsid w:val="00B93FE7"/>
    <w:rsid w:val="00BA24A6"/>
    <w:rsid w:val="00BB61C5"/>
    <w:rsid w:val="00BC4036"/>
    <w:rsid w:val="00BD693E"/>
    <w:rsid w:val="00BD6C02"/>
    <w:rsid w:val="00BD7B99"/>
    <w:rsid w:val="00BE2E81"/>
    <w:rsid w:val="00C04870"/>
    <w:rsid w:val="00C06D00"/>
    <w:rsid w:val="00C06D54"/>
    <w:rsid w:val="00C171C5"/>
    <w:rsid w:val="00C23559"/>
    <w:rsid w:val="00C263C9"/>
    <w:rsid w:val="00C42142"/>
    <w:rsid w:val="00C432C6"/>
    <w:rsid w:val="00C46403"/>
    <w:rsid w:val="00C46C78"/>
    <w:rsid w:val="00C47E32"/>
    <w:rsid w:val="00C558EF"/>
    <w:rsid w:val="00C60554"/>
    <w:rsid w:val="00C70032"/>
    <w:rsid w:val="00C97B7D"/>
    <w:rsid w:val="00CA0157"/>
    <w:rsid w:val="00CA0FDC"/>
    <w:rsid w:val="00CC5086"/>
    <w:rsid w:val="00CE4DCB"/>
    <w:rsid w:val="00CF407A"/>
    <w:rsid w:val="00D547BE"/>
    <w:rsid w:val="00D54E40"/>
    <w:rsid w:val="00D71F9A"/>
    <w:rsid w:val="00D829EF"/>
    <w:rsid w:val="00D91DBB"/>
    <w:rsid w:val="00D97370"/>
    <w:rsid w:val="00DA4ABF"/>
    <w:rsid w:val="00DA7515"/>
    <w:rsid w:val="00DB18EE"/>
    <w:rsid w:val="00DB41F7"/>
    <w:rsid w:val="00DD776F"/>
    <w:rsid w:val="00DE6496"/>
    <w:rsid w:val="00E0020E"/>
    <w:rsid w:val="00E07EB9"/>
    <w:rsid w:val="00E12ADE"/>
    <w:rsid w:val="00E139D0"/>
    <w:rsid w:val="00E16E10"/>
    <w:rsid w:val="00E26E13"/>
    <w:rsid w:val="00E33617"/>
    <w:rsid w:val="00E42908"/>
    <w:rsid w:val="00E43A98"/>
    <w:rsid w:val="00E45D43"/>
    <w:rsid w:val="00E53F26"/>
    <w:rsid w:val="00E60AEA"/>
    <w:rsid w:val="00E60F59"/>
    <w:rsid w:val="00E61E69"/>
    <w:rsid w:val="00E70144"/>
    <w:rsid w:val="00E70766"/>
    <w:rsid w:val="00E76C8C"/>
    <w:rsid w:val="00E7701E"/>
    <w:rsid w:val="00EB2113"/>
    <w:rsid w:val="00EB3BD4"/>
    <w:rsid w:val="00EC4F5D"/>
    <w:rsid w:val="00ED1017"/>
    <w:rsid w:val="00EE6699"/>
    <w:rsid w:val="00EF5B6F"/>
    <w:rsid w:val="00EF7D0C"/>
    <w:rsid w:val="00F10BB8"/>
    <w:rsid w:val="00F1149F"/>
    <w:rsid w:val="00F17A05"/>
    <w:rsid w:val="00F30EC6"/>
    <w:rsid w:val="00F313ED"/>
    <w:rsid w:val="00F35872"/>
    <w:rsid w:val="00F47100"/>
    <w:rsid w:val="00F60FB0"/>
    <w:rsid w:val="00F610DC"/>
    <w:rsid w:val="00F65898"/>
    <w:rsid w:val="00F741C9"/>
    <w:rsid w:val="00F7611D"/>
    <w:rsid w:val="00F7637D"/>
    <w:rsid w:val="00F83953"/>
    <w:rsid w:val="00FB0F29"/>
    <w:rsid w:val="00FB1638"/>
    <w:rsid w:val="00FB2CD3"/>
    <w:rsid w:val="00FB7956"/>
    <w:rsid w:val="00FC279D"/>
    <w:rsid w:val="00FD3A09"/>
    <w:rsid w:val="00FD7F24"/>
    <w:rsid w:val="00FF48AC"/>
    <w:rsid w:val="00FF5DC3"/>
    <w:rsid w:val="024215A8"/>
    <w:rsid w:val="04862A2C"/>
    <w:rsid w:val="09CE18C4"/>
    <w:rsid w:val="10907F32"/>
    <w:rsid w:val="15405F2B"/>
    <w:rsid w:val="17E4048F"/>
    <w:rsid w:val="1A4F4342"/>
    <w:rsid w:val="1B982B3A"/>
    <w:rsid w:val="1CF84090"/>
    <w:rsid w:val="1D174804"/>
    <w:rsid w:val="1DD92716"/>
    <w:rsid w:val="2291293D"/>
    <w:rsid w:val="256C499F"/>
    <w:rsid w:val="269F6FA4"/>
    <w:rsid w:val="27A2694A"/>
    <w:rsid w:val="28627691"/>
    <w:rsid w:val="304B6212"/>
    <w:rsid w:val="392101F3"/>
    <w:rsid w:val="393113E1"/>
    <w:rsid w:val="3B2D32EC"/>
    <w:rsid w:val="3C4B449C"/>
    <w:rsid w:val="3F10018D"/>
    <w:rsid w:val="41B13697"/>
    <w:rsid w:val="44EF3C4B"/>
    <w:rsid w:val="47CB39B4"/>
    <w:rsid w:val="48125835"/>
    <w:rsid w:val="4B651165"/>
    <w:rsid w:val="4CD06E94"/>
    <w:rsid w:val="4D713443"/>
    <w:rsid w:val="4E011963"/>
    <w:rsid w:val="50835689"/>
    <w:rsid w:val="51DB12F6"/>
    <w:rsid w:val="554A6179"/>
    <w:rsid w:val="57062574"/>
    <w:rsid w:val="572B1C3C"/>
    <w:rsid w:val="591A3B9A"/>
    <w:rsid w:val="59942B7F"/>
    <w:rsid w:val="59F52C1D"/>
    <w:rsid w:val="5A543D04"/>
    <w:rsid w:val="5E4A1203"/>
    <w:rsid w:val="5E4A6A02"/>
    <w:rsid w:val="5E9C3754"/>
    <w:rsid w:val="5F206125"/>
    <w:rsid w:val="5F9C1C10"/>
    <w:rsid w:val="61C23F45"/>
    <w:rsid w:val="62411A37"/>
    <w:rsid w:val="627434C6"/>
    <w:rsid w:val="62860A3B"/>
    <w:rsid w:val="62CB62CE"/>
    <w:rsid w:val="65CC7D53"/>
    <w:rsid w:val="667B18C4"/>
    <w:rsid w:val="676F0E01"/>
    <w:rsid w:val="6A87123F"/>
    <w:rsid w:val="6AF32943"/>
    <w:rsid w:val="71B11D4A"/>
    <w:rsid w:val="7259159D"/>
    <w:rsid w:val="72927E1C"/>
    <w:rsid w:val="72D63E2A"/>
    <w:rsid w:val="734D722C"/>
    <w:rsid w:val="740F7A12"/>
    <w:rsid w:val="76C72C4F"/>
    <w:rsid w:val="79473620"/>
    <w:rsid w:val="7A4224DD"/>
    <w:rsid w:val="7BE64160"/>
    <w:rsid w:val="7C231EB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F159F0"/>
  <w15:docId w15:val="{28B60352-02D1-44DE-9373-08BDDDB207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EastAsia" w:hAnsi="Arial" w:cs="Arial"/>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qFormat="1"/>
    <w:lsdException w:name="annotation text" w:uiPriority="99" w:qFormat="1"/>
    <w:lsdException w:name="header" w:uiPriority="99" w:qFormat="1"/>
    <w:lsdException w:name="footer" w:uiPriority="99" w:qFormat="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uiPriority="99" w:unhideWhenUsed="1" w:qFormat="1"/>
    <w:lsdException w:name="Block Text" w:semiHidden="1" w:unhideWhenUsed="1"/>
    <w:lsdException w:name="Hyperlink" w:uiPriority="99" w:qFormat="1"/>
    <w:lsdException w:name="FollowedHyperlink" w:uiPriority="99" w:unhideWhenUsed="1" w:qFormat="1"/>
    <w:lsdException w:name="Strong" w:uiPriority="22" w:qFormat="1"/>
    <w:lsdException w:name="Emphasis" w:qFormat="1"/>
    <w:lsdException w:name="Document Map" w:uiPriority="99"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uiPriority="99" w:unhideWhenUsed="1" w:qFormat="1"/>
    <w:lsdException w:name="HTML Definition" w:uiPriority="99" w:unhideWhenUsed="1" w:qFormat="1"/>
    <w:lsdException w:name="HTML Keyboard" w:uiPriority="99" w:unhideWhenUsed="1" w:qFormat="1"/>
    <w:lsdException w:name="HTML Preformatted" w:semiHidden="1" w:unhideWhenUsed="1"/>
    <w:lsdException w:name="HTML Sample" w:uiPriority="99" w:unhideWhenUsed="1" w:qFormat="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iPriority w:val="9"/>
    <w:qFormat/>
    <w:pPr>
      <w:keepNext/>
      <w:keepLines/>
      <w:spacing w:before="260" w:after="260" w:line="416" w:lineRule="auto"/>
      <w:outlineLvl w:val="1"/>
    </w:pPr>
    <w:rPr>
      <w:rFonts w:ascii="Cambria" w:eastAsia="宋体" w:hAnsi="Cambria" w:cs="Times New Roman"/>
      <w:b/>
      <w:bCs/>
      <w:kern w:val="0"/>
      <w:sz w:val="32"/>
      <w:szCs w:val="32"/>
    </w:rPr>
  </w:style>
  <w:style w:type="paragraph" w:styleId="3">
    <w:name w:val="heading 3"/>
    <w:basedOn w:val="a"/>
    <w:next w:val="a"/>
    <w:link w:val="30"/>
    <w:uiPriority w:val="9"/>
    <w:qFormat/>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style>
  <w:style w:type="paragraph" w:styleId="a3">
    <w:name w:val="caption"/>
    <w:basedOn w:val="a"/>
    <w:next w:val="a"/>
    <w:unhideWhenUsed/>
    <w:qFormat/>
    <w:rPr>
      <w:rFonts w:ascii="Cambria" w:eastAsia="黑体" w:hAnsi="Cambria"/>
      <w:sz w:val="20"/>
      <w:szCs w:val="20"/>
    </w:rPr>
  </w:style>
  <w:style w:type="paragraph" w:styleId="a4">
    <w:name w:val="Document Map"/>
    <w:basedOn w:val="a"/>
    <w:link w:val="a5"/>
    <w:uiPriority w:val="99"/>
    <w:qFormat/>
    <w:rPr>
      <w:rFonts w:ascii="宋体" w:eastAsia="宋体"/>
      <w:sz w:val="18"/>
      <w:szCs w:val="18"/>
    </w:rPr>
  </w:style>
  <w:style w:type="paragraph" w:styleId="a6">
    <w:name w:val="annotation text"/>
    <w:basedOn w:val="a"/>
    <w:link w:val="a7"/>
    <w:uiPriority w:val="99"/>
    <w:qFormat/>
    <w:pPr>
      <w:jc w:val="left"/>
    </w:pPr>
  </w:style>
  <w:style w:type="paragraph" w:styleId="5">
    <w:name w:val="toc 5"/>
    <w:basedOn w:val="a"/>
    <w:next w:val="a"/>
    <w:uiPriority w:val="39"/>
    <w:unhideWhenUsed/>
    <w:qFormat/>
    <w:pPr>
      <w:ind w:leftChars="800" w:left="1680"/>
    </w:pPr>
  </w:style>
  <w:style w:type="paragraph" w:styleId="31">
    <w:name w:val="toc 3"/>
    <w:basedOn w:val="a"/>
    <w:next w:val="a"/>
    <w:uiPriority w:val="39"/>
    <w:qFormat/>
    <w:pPr>
      <w:spacing w:line="360" w:lineRule="auto"/>
      <w:ind w:leftChars="400" w:left="840"/>
    </w:pPr>
    <w:rPr>
      <w:rFonts w:ascii="Times New Roman" w:eastAsia="宋体" w:hAnsi="Times New Roman" w:cs="Calibri"/>
      <w:szCs w:val="21"/>
    </w:rPr>
  </w:style>
  <w:style w:type="paragraph" w:styleId="8">
    <w:name w:val="toc 8"/>
    <w:basedOn w:val="a"/>
    <w:next w:val="a"/>
    <w:uiPriority w:val="39"/>
    <w:unhideWhenUsed/>
    <w:qFormat/>
    <w:pPr>
      <w:ind w:leftChars="1400" w:left="2940"/>
    </w:pPr>
  </w:style>
  <w:style w:type="paragraph" w:styleId="a8">
    <w:name w:val="Date"/>
    <w:basedOn w:val="a"/>
    <w:next w:val="a"/>
    <w:link w:val="a9"/>
    <w:uiPriority w:val="99"/>
    <w:qFormat/>
    <w:pPr>
      <w:ind w:leftChars="2500" w:left="100"/>
    </w:pPr>
  </w:style>
  <w:style w:type="paragraph" w:styleId="21">
    <w:name w:val="Body Text Indent 2"/>
    <w:basedOn w:val="a"/>
    <w:link w:val="22"/>
    <w:qFormat/>
    <w:pPr>
      <w:ind w:firstLineChars="200" w:firstLine="640"/>
    </w:pPr>
    <w:rPr>
      <w:rFonts w:ascii="Times New Roman" w:hAnsi="Times New Roman"/>
      <w:sz w:val="32"/>
      <w:szCs w:val="24"/>
    </w:rPr>
  </w:style>
  <w:style w:type="paragraph" w:styleId="aa">
    <w:name w:val="Balloon Text"/>
    <w:basedOn w:val="a"/>
    <w:link w:val="ab"/>
    <w:uiPriority w:val="99"/>
    <w:qFormat/>
    <w:rPr>
      <w:sz w:val="18"/>
      <w:szCs w:val="18"/>
    </w:rPr>
  </w:style>
  <w:style w:type="paragraph" w:styleId="ac">
    <w:name w:val="footer"/>
    <w:basedOn w:val="a"/>
    <w:link w:val="ad"/>
    <w:uiPriority w:val="99"/>
    <w:qFormat/>
    <w:pPr>
      <w:tabs>
        <w:tab w:val="center" w:pos="4153"/>
        <w:tab w:val="right" w:pos="8306"/>
      </w:tabs>
      <w:snapToGrid w:val="0"/>
      <w:jc w:val="left"/>
    </w:pPr>
    <w:rPr>
      <w:sz w:val="18"/>
    </w:rPr>
  </w:style>
  <w:style w:type="paragraph" w:styleId="ae">
    <w:name w:val="header"/>
    <w:basedOn w:val="a"/>
    <w:link w:val="af"/>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1">
    <w:name w:val="toc 1"/>
    <w:basedOn w:val="a"/>
    <w:next w:val="a"/>
    <w:uiPriority w:val="39"/>
    <w:qFormat/>
    <w:pPr>
      <w:spacing w:line="360" w:lineRule="auto"/>
    </w:pPr>
    <w:rPr>
      <w:rFonts w:ascii="Times New Roman" w:eastAsia="宋体" w:hAnsi="Times New Roman" w:cs="Calibri"/>
      <w:szCs w:val="21"/>
    </w:rPr>
  </w:style>
  <w:style w:type="paragraph" w:styleId="41">
    <w:name w:val="toc 4"/>
    <w:basedOn w:val="a"/>
    <w:next w:val="a"/>
    <w:uiPriority w:val="39"/>
    <w:unhideWhenUsed/>
    <w:qFormat/>
    <w:pPr>
      <w:ind w:leftChars="600" w:left="1260"/>
    </w:pPr>
  </w:style>
  <w:style w:type="paragraph" w:styleId="af0">
    <w:name w:val="footnote text"/>
    <w:basedOn w:val="a"/>
    <w:qFormat/>
    <w:pPr>
      <w:snapToGrid w:val="0"/>
      <w:jc w:val="left"/>
    </w:pPr>
    <w:rPr>
      <w:kern w:val="0"/>
      <w:sz w:val="18"/>
      <w:szCs w:val="18"/>
    </w:rPr>
  </w:style>
  <w:style w:type="paragraph" w:styleId="6">
    <w:name w:val="toc 6"/>
    <w:basedOn w:val="a"/>
    <w:next w:val="a"/>
    <w:uiPriority w:val="39"/>
    <w:unhideWhenUsed/>
    <w:qFormat/>
    <w:pPr>
      <w:ind w:leftChars="1000" w:left="2100"/>
    </w:pPr>
  </w:style>
  <w:style w:type="paragraph" w:styleId="32">
    <w:name w:val="Body Text Indent 3"/>
    <w:basedOn w:val="a"/>
    <w:link w:val="33"/>
    <w:uiPriority w:val="99"/>
    <w:unhideWhenUsed/>
    <w:qFormat/>
    <w:pPr>
      <w:spacing w:after="120"/>
      <w:ind w:leftChars="200" w:left="420"/>
    </w:pPr>
    <w:rPr>
      <w:sz w:val="16"/>
      <w:szCs w:val="16"/>
    </w:rPr>
  </w:style>
  <w:style w:type="paragraph" w:styleId="23">
    <w:name w:val="toc 2"/>
    <w:basedOn w:val="a"/>
    <w:next w:val="a"/>
    <w:uiPriority w:val="39"/>
    <w:qFormat/>
    <w:pPr>
      <w:spacing w:line="360" w:lineRule="auto"/>
      <w:ind w:leftChars="200" w:left="420"/>
    </w:pPr>
    <w:rPr>
      <w:rFonts w:ascii="Times New Roman" w:eastAsia="宋体" w:hAnsi="Times New Roman" w:cs="Calibri"/>
      <w:szCs w:val="21"/>
    </w:rPr>
  </w:style>
  <w:style w:type="paragraph" w:styleId="9">
    <w:name w:val="toc 9"/>
    <w:basedOn w:val="a"/>
    <w:next w:val="a"/>
    <w:uiPriority w:val="39"/>
    <w:unhideWhenUsed/>
    <w:qFormat/>
    <w:pPr>
      <w:ind w:leftChars="1600" w:left="3360"/>
    </w:pPr>
  </w:style>
  <w:style w:type="paragraph" w:styleId="af1">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f2">
    <w:name w:val="Title"/>
    <w:basedOn w:val="a"/>
    <w:next w:val="a"/>
    <w:link w:val="af3"/>
    <w:qFormat/>
    <w:pPr>
      <w:spacing w:before="240" w:after="60" w:line="360" w:lineRule="auto"/>
      <w:jc w:val="center"/>
      <w:outlineLvl w:val="0"/>
    </w:pPr>
    <w:rPr>
      <w:rFonts w:ascii="Cambria" w:hAnsi="Cambria"/>
      <w:b/>
      <w:bCs/>
      <w:sz w:val="32"/>
      <w:szCs w:val="32"/>
    </w:rPr>
  </w:style>
  <w:style w:type="paragraph" w:styleId="af4">
    <w:name w:val="annotation subject"/>
    <w:basedOn w:val="a6"/>
    <w:next w:val="a6"/>
    <w:link w:val="af5"/>
    <w:qFormat/>
    <w:rPr>
      <w:b/>
      <w:bCs/>
    </w:rPr>
  </w:style>
  <w:style w:type="table" w:styleId="af6">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uiPriority w:val="22"/>
    <w:qFormat/>
    <w:rPr>
      <w:b/>
    </w:rPr>
  </w:style>
  <w:style w:type="character" w:styleId="af8">
    <w:name w:val="page number"/>
    <w:basedOn w:val="a0"/>
    <w:qFormat/>
  </w:style>
  <w:style w:type="character" w:styleId="af9">
    <w:name w:val="FollowedHyperlink"/>
    <w:uiPriority w:val="99"/>
    <w:unhideWhenUsed/>
    <w:qFormat/>
    <w:rPr>
      <w:color w:val="800080"/>
      <w:u w:val="single"/>
    </w:rPr>
  </w:style>
  <w:style w:type="character" w:styleId="HTML">
    <w:name w:val="HTML Definition"/>
    <w:basedOn w:val="a0"/>
    <w:uiPriority w:val="99"/>
    <w:unhideWhenUsed/>
    <w:qFormat/>
    <w:rPr>
      <w:i/>
    </w:rPr>
  </w:style>
  <w:style w:type="character" w:styleId="afa">
    <w:name w:val="Hyperlink"/>
    <w:uiPriority w:val="99"/>
    <w:qFormat/>
    <w:rPr>
      <w:color w:val="0000FF"/>
      <w:u w:val="single"/>
    </w:rPr>
  </w:style>
  <w:style w:type="character" w:styleId="HTML0">
    <w:name w:val="HTML Code"/>
    <w:basedOn w:val="a0"/>
    <w:uiPriority w:val="99"/>
    <w:unhideWhenUsed/>
    <w:qFormat/>
    <w:rPr>
      <w:rFonts w:ascii="monospace" w:eastAsia="monospace" w:hAnsi="monospace" w:cs="monospace" w:hint="default"/>
      <w:sz w:val="21"/>
      <w:szCs w:val="21"/>
    </w:rPr>
  </w:style>
  <w:style w:type="character" w:styleId="afb">
    <w:name w:val="annotation reference"/>
    <w:basedOn w:val="a0"/>
    <w:qFormat/>
    <w:rPr>
      <w:sz w:val="21"/>
      <w:szCs w:val="21"/>
    </w:rPr>
  </w:style>
  <w:style w:type="character" w:styleId="afc">
    <w:name w:val="footnote reference"/>
    <w:qFormat/>
    <w:rPr>
      <w:rFonts w:cs="Times New Roman"/>
      <w:vertAlign w:val="superscript"/>
    </w:rPr>
  </w:style>
  <w:style w:type="character" w:styleId="HTML1">
    <w:name w:val="HTML Keyboard"/>
    <w:basedOn w:val="a0"/>
    <w:uiPriority w:val="99"/>
    <w:unhideWhenUsed/>
    <w:qFormat/>
    <w:rPr>
      <w:rFonts w:ascii="monospace" w:eastAsia="monospace" w:hAnsi="monospace" w:cs="monospace" w:hint="default"/>
      <w:sz w:val="21"/>
      <w:szCs w:val="21"/>
    </w:rPr>
  </w:style>
  <w:style w:type="character" w:styleId="HTML2">
    <w:name w:val="HTML Sample"/>
    <w:basedOn w:val="a0"/>
    <w:uiPriority w:val="99"/>
    <w:unhideWhenUsed/>
    <w:qFormat/>
    <w:rPr>
      <w:rFonts w:ascii="monospace" w:eastAsia="monospace" w:hAnsi="monospace" w:cs="monospace"/>
      <w:sz w:val="21"/>
      <w:szCs w:val="21"/>
    </w:rPr>
  </w:style>
  <w:style w:type="character" w:customStyle="1" w:styleId="10">
    <w:name w:val="标题 1 字符"/>
    <w:basedOn w:val="a0"/>
    <w:link w:val="1"/>
    <w:uiPriority w:val="9"/>
    <w:qFormat/>
    <w:rPr>
      <w:rFonts w:ascii="Times New Roman" w:eastAsia="宋体" w:hAnsi="Times New Roman" w:cs="Times New Roman"/>
      <w:b/>
      <w:bCs/>
      <w:kern w:val="44"/>
      <w:sz w:val="44"/>
      <w:szCs w:val="44"/>
    </w:rPr>
  </w:style>
  <w:style w:type="character" w:customStyle="1" w:styleId="20">
    <w:name w:val="标题 2 字符"/>
    <w:basedOn w:val="a0"/>
    <w:link w:val="2"/>
    <w:uiPriority w:val="9"/>
    <w:qFormat/>
    <w:rPr>
      <w:rFonts w:ascii="Cambria" w:eastAsia="宋体" w:hAnsi="Cambria" w:cs="Times New Roman"/>
      <w:b/>
      <w:bCs/>
      <w:sz w:val="32"/>
      <w:szCs w:val="32"/>
    </w:rPr>
  </w:style>
  <w:style w:type="character" w:customStyle="1" w:styleId="30">
    <w:name w:val="标题 3 字符"/>
    <w:basedOn w:val="a0"/>
    <w:link w:val="3"/>
    <w:uiPriority w:val="9"/>
    <w:qFormat/>
    <w:rPr>
      <w:rFonts w:ascii="Times New Roman" w:eastAsia="宋体" w:hAnsi="Times New Roman" w:cs="Times New Roman"/>
      <w:b/>
      <w:bCs/>
      <w:kern w:val="2"/>
      <w:sz w:val="32"/>
      <w:szCs w:val="32"/>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 w:type="character" w:customStyle="1" w:styleId="a7">
    <w:name w:val="批注文字 字符"/>
    <w:basedOn w:val="a0"/>
    <w:link w:val="a6"/>
    <w:qFormat/>
    <w:rPr>
      <w:kern w:val="2"/>
      <w:sz w:val="21"/>
      <w:szCs w:val="22"/>
    </w:rPr>
  </w:style>
  <w:style w:type="character" w:customStyle="1" w:styleId="af5">
    <w:name w:val="批注主题 字符"/>
    <w:basedOn w:val="a7"/>
    <w:link w:val="af4"/>
    <w:qFormat/>
    <w:rPr>
      <w:b/>
      <w:bCs/>
      <w:kern w:val="2"/>
      <w:sz w:val="21"/>
      <w:szCs w:val="22"/>
    </w:rPr>
  </w:style>
  <w:style w:type="character" w:customStyle="1" w:styleId="ab">
    <w:name w:val="批注框文本 字符"/>
    <w:basedOn w:val="a0"/>
    <w:link w:val="aa"/>
    <w:uiPriority w:val="99"/>
    <w:qFormat/>
    <w:rPr>
      <w:kern w:val="2"/>
      <w:sz w:val="18"/>
      <w:szCs w:val="18"/>
    </w:rPr>
  </w:style>
  <w:style w:type="character" w:customStyle="1" w:styleId="ad">
    <w:name w:val="页脚 字符"/>
    <w:link w:val="ac"/>
    <w:uiPriority w:val="99"/>
    <w:qFormat/>
    <w:rPr>
      <w:kern w:val="2"/>
      <w:sz w:val="18"/>
      <w:szCs w:val="22"/>
    </w:rPr>
  </w:style>
  <w:style w:type="character" w:customStyle="1" w:styleId="af">
    <w:name w:val="页眉 字符"/>
    <w:link w:val="ae"/>
    <w:uiPriority w:val="99"/>
    <w:qFormat/>
    <w:rPr>
      <w:kern w:val="2"/>
      <w:sz w:val="18"/>
      <w:szCs w:val="22"/>
    </w:rPr>
  </w:style>
  <w:style w:type="character" w:customStyle="1" w:styleId="a5">
    <w:name w:val="文档结构图 字符"/>
    <w:basedOn w:val="a0"/>
    <w:link w:val="a4"/>
    <w:uiPriority w:val="99"/>
    <w:qFormat/>
    <w:rPr>
      <w:rFonts w:ascii="宋体" w:eastAsia="宋体"/>
      <w:kern w:val="2"/>
      <w:sz w:val="18"/>
      <w:szCs w:val="18"/>
    </w:rPr>
  </w:style>
  <w:style w:type="character" w:customStyle="1" w:styleId="af3">
    <w:name w:val="标题 字符"/>
    <w:link w:val="af2"/>
    <w:qFormat/>
    <w:rPr>
      <w:rFonts w:ascii="Cambria" w:hAnsi="Cambria"/>
      <w:b/>
      <w:bCs/>
      <w:kern w:val="2"/>
      <w:sz w:val="32"/>
      <w:szCs w:val="32"/>
    </w:rPr>
  </w:style>
  <w:style w:type="character" w:customStyle="1" w:styleId="33">
    <w:name w:val="正文文本缩进 3 字符"/>
    <w:link w:val="32"/>
    <w:uiPriority w:val="99"/>
    <w:qFormat/>
    <w:rPr>
      <w:kern w:val="2"/>
      <w:sz w:val="16"/>
      <w:szCs w:val="16"/>
    </w:rPr>
  </w:style>
  <w:style w:type="character" w:customStyle="1" w:styleId="5-Char">
    <w:name w:val="5-内文 Char"/>
    <w:link w:val="5-"/>
    <w:qFormat/>
    <w:locked/>
    <w:rPr>
      <w:rFonts w:eastAsia="仿宋_GB2312"/>
      <w:kern w:val="2"/>
      <w:sz w:val="28"/>
      <w:szCs w:val="28"/>
    </w:rPr>
  </w:style>
  <w:style w:type="paragraph" w:customStyle="1" w:styleId="5-">
    <w:name w:val="5-内文"/>
    <w:basedOn w:val="a"/>
    <w:link w:val="5-Char"/>
    <w:qFormat/>
    <w:pPr>
      <w:spacing w:beforeLines="25" w:afterLines="25" w:line="300" w:lineRule="auto"/>
      <w:ind w:firstLineChars="200" w:firstLine="200"/>
    </w:pPr>
    <w:rPr>
      <w:rFonts w:eastAsia="仿宋_GB2312"/>
      <w:sz w:val="28"/>
      <w:szCs w:val="28"/>
    </w:rPr>
  </w:style>
  <w:style w:type="character" w:customStyle="1" w:styleId="1Char">
    <w:name w:val="表格1 Char"/>
    <w:link w:val="12"/>
    <w:qFormat/>
    <w:rPr>
      <w:rFonts w:ascii="宋体" w:hAnsi="宋体"/>
      <w:b/>
      <w:kern w:val="2"/>
      <w:sz w:val="24"/>
      <w:szCs w:val="24"/>
    </w:rPr>
  </w:style>
  <w:style w:type="paragraph" w:customStyle="1" w:styleId="12">
    <w:name w:val="表格1"/>
    <w:basedOn w:val="a"/>
    <w:link w:val="1Char"/>
    <w:qFormat/>
    <w:pPr>
      <w:adjustRightInd w:val="0"/>
      <w:snapToGrid w:val="0"/>
      <w:spacing w:line="560" w:lineRule="exact"/>
      <w:jc w:val="center"/>
    </w:pPr>
    <w:rPr>
      <w:rFonts w:ascii="宋体" w:hAnsi="宋体"/>
      <w:b/>
      <w:sz w:val="24"/>
      <w:szCs w:val="24"/>
    </w:rPr>
  </w:style>
  <w:style w:type="character" w:customStyle="1" w:styleId="afd">
    <w:name w:val="列出段落 字符"/>
    <w:link w:val="afe"/>
    <w:qFormat/>
    <w:rPr>
      <w:kern w:val="2"/>
      <w:sz w:val="21"/>
      <w:szCs w:val="22"/>
    </w:rPr>
  </w:style>
  <w:style w:type="paragraph" w:styleId="afe">
    <w:name w:val="List Paragraph"/>
    <w:basedOn w:val="a"/>
    <w:link w:val="afd"/>
    <w:qFormat/>
    <w:pPr>
      <w:spacing w:line="360" w:lineRule="auto"/>
      <w:ind w:firstLineChars="200" w:firstLine="420"/>
    </w:pPr>
  </w:style>
  <w:style w:type="character" w:customStyle="1" w:styleId="22">
    <w:name w:val="正文文本缩进 2 字符"/>
    <w:link w:val="21"/>
    <w:qFormat/>
    <w:rPr>
      <w:rFonts w:ascii="Times New Roman" w:hAnsi="Times New Roman"/>
      <w:kern w:val="2"/>
      <w:sz w:val="32"/>
      <w:szCs w:val="24"/>
    </w:rPr>
  </w:style>
  <w:style w:type="character" w:customStyle="1" w:styleId="Char">
    <w:name w:val="表格 Char"/>
    <w:link w:val="aff"/>
    <w:qFormat/>
    <w:locked/>
    <w:rPr>
      <w:rFonts w:ascii="宋体" w:hAnsi="宋体"/>
      <w:color w:val="000000"/>
      <w:sz w:val="22"/>
      <w:szCs w:val="22"/>
    </w:rPr>
  </w:style>
  <w:style w:type="paragraph" w:customStyle="1" w:styleId="aff">
    <w:name w:val="表格"/>
    <w:basedOn w:val="a"/>
    <w:link w:val="Char"/>
    <w:qFormat/>
    <w:pPr>
      <w:widowControl/>
      <w:spacing w:line="240" w:lineRule="exact"/>
      <w:jc w:val="center"/>
    </w:pPr>
    <w:rPr>
      <w:rFonts w:ascii="宋体" w:hAnsi="宋体"/>
      <w:color w:val="000000"/>
      <w:kern w:val="0"/>
      <w:sz w:val="22"/>
    </w:rPr>
  </w:style>
  <w:style w:type="character" w:customStyle="1" w:styleId="aff0">
    <w:name w:val="无间隔 字符"/>
    <w:link w:val="aff1"/>
    <w:uiPriority w:val="1"/>
    <w:qFormat/>
    <w:rPr>
      <w:sz w:val="22"/>
      <w:szCs w:val="22"/>
    </w:rPr>
  </w:style>
  <w:style w:type="paragraph" w:styleId="aff1">
    <w:name w:val="No Spacing"/>
    <w:link w:val="aff0"/>
    <w:uiPriority w:val="1"/>
    <w:qFormat/>
    <w:rPr>
      <w:rFonts w:asciiTheme="minorHAnsi" w:hAnsiTheme="minorHAnsi" w:cstheme="minorBidi"/>
      <w:sz w:val="22"/>
      <w:szCs w:val="22"/>
    </w:rPr>
  </w:style>
  <w:style w:type="character" w:customStyle="1" w:styleId="1Char0">
    <w:name w:val="样式1 Char"/>
    <w:link w:val="13"/>
    <w:qFormat/>
    <w:locked/>
    <w:rPr>
      <w:kern w:val="2"/>
      <w:sz w:val="22"/>
      <w:szCs w:val="22"/>
    </w:rPr>
  </w:style>
  <w:style w:type="paragraph" w:customStyle="1" w:styleId="13">
    <w:name w:val="样式1"/>
    <w:basedOn w:val="a"/>
    <w:link w:val="1Char0"/>
    <w:qFormat/>
    <w:pPr>
      <w:ind w:firstLineChars="200" w:firstLine="200"/>
    </w:pPr>
    <w:rPr>
      <w:sz w:val="22"/>
    </w:rPr>
  </w:style>
  <w:style w:type="character" w:customStyle="1" w:styleId="2Char1">
    <w:name w:val="正文文本缩进 2 Char1"/>
    <w:basedOn w:val="a0"/>
    <w:uiPriority w:val="99"/>
    <w:qFormat/>
    <w:rPr>
      <w:kern w:val="2"/>
      <w:sz w:val="21"/>
      <w:szCs w:val="22"/>
    </w:rPr>
  </w:style>
  <w:style w:type="character" w:customStyle="1" w:styleId="3Char1">
    <w:name w:val="正文文本缩进 3 Char1"/>
    <w:basedOn w:val="a0"/>
    <w:uiPriority w:val="99"/>
    <w:qFormat/>
    <w:rPr>
      <w:kern w:val="2"/>
      <w:sz w:val="16"/>
      <w:szCs w:val="16"/>
    </w:rPr>
  </w:style>
  <w:style w:type="character" w:customStyle="1" w:styleId="Char1">
    <w:name w:val="标题 Char1"/>
    <w:basedOn w:val="a0"/>
    <w:uiPriority w:val="10"/>
    <w:qFormat/>
    <w:rPr>
      <w:rFonts w:asciiTheme="majorHAnsi" w:eastAsia="宋体" w:hAnsiTheme="majorHAnsi" w:cstheme="majorBidi"/>
      <w:b/>
      <w:bCs/>
      <w:kern w:val="2"/>
      <w:sz w:val="32"/>
      <w:szCs w:val="32"/>
    </w:rPr>
  </w:style>
  <w:style w:type="paragraph" w:customStyle="1" w:styleId="Style25">
    <w:name w:val="_Style 25"/>
    <w:next w:val="a"/>
    <w:uiPriority w:val="99"/>
    <w:unhideWhenUsed/>
    <w:qFormat/>
    <w:pPr>
      <w:widowControl w:val="0"/>
      <w:jc w:val="both"/>
    </w:pPr>
    <w:rPr>
      <w:rFonts w:ascii="Times New Roman" w:eastAsia="宋体" w:hAnsi="Times New Roman" w:cs="Times New Roman"/>
      <w:kern w:val="2"/>
      <w:sz w:val="21"/>
      <w:szCs w:val="22"/>
    </w:rPr>
  </w:style>
  <w:style w:type="paragraph" w:customStyle="1" w:styleId="14">
    <w:name w:val="列出段落1"/>
    <w:basedOn w:val="a"/>
    <w:uiPriority w:val="34"/>
    <w:qFormat/>
    <w:pPr>
      <w:spacing w:line="360" w:lineRule="auto"/>
      <w:ind w:firstLineChars="200" w:firstLine="420"/>
    </w:pPr>
    <w:rPr>
      <w:rFonts w:ascii="Times New Roman" w:eastAsia="宋体" w:hAnsi="Times New Roman" w:cs="Calibri"/>
      <w:szCs w:val="21"/>
    </w:rPr>
  </w:style>
  <w:style w:type="paragraph" w:customStyle="1" w:styleId="TOC1">
    <w:name w:val="TOC 标题1"/>
    <w:basedOn w:val="1"/>
    <w:next w:val="a"/>
    <w:uiPriority w:val="39"/>
    <w:qFormat/>
    <w:pPr>
      <w:widowControl/>
      <w:spacing w:before="480" w:after="0" w:line="276" w:lineRule="auto"/>
      <w:jc w:val="left"/>
      <w:outlineLvl w:val="9"/>
    </w:pPr>
    <w:rPr>
      <w:rFonts w:ascii="Cambria" w:hAnsi="Cambria"/>
      <w:color w:val="365F91"/>
      <w:kern w:val="0"/>
    </w:rPr>
  </w:style>
  <w:style w:type="paragraph" w:customStyle="1" w:styleId="Default">
    <w:name w:val="Default"/>
    <w:qFormat/>
    <w:pPr>
      <w:widowControl w:val="0"/>
      <w:autoSpaceDE w:val="0"/>
      <w:autoSpaceDN w:val="0"/>
      <w:adjustRightInd w:val="0"/>
    </w:pPr>
    <w:rPr>
      <w:rFonts w:ascii="微软雅黑" w:eastAsia="微软雅黑" w:hAnsiTheme="minorHAnsi" w:cs="微软雅黑"/>
      <w:color w:val="000000"/>
      <w:sz w:val="24"/>
      <w:szCs w:val="24"/>
    </w:rPr>
  </w:style>
  <w:style w:type="character" w:customStyle="1" w:styleId="a9">
    <w:name w:val="日期 字符"/>
    <w:basedOn w:val="a0"/>
    <w:link w:val="a8"/>
    <w:uiPriority w:val="99"/>
    <w:qFormat/>
    <w:rPr>
      <w:kern w:val="2"/>
      <w:sz w:val="21"/>
      <w:szCs w:val="22"/>
    </w:rPr>
  </w:style>
  <w:style w:type="character" w:customStyle="1" w:styleId="nui-addr-email4">
    <w:name w:val="nui-addr-email4"/>
    <w:basedOn w:val="a0"/>
    <w:qFormat/>
  </w:style>
  <w:style w:type="character" w:customStyle="1" w:styleId="Char10">
    <w:name w:val="日期 Char1"/>
    <w:basedOn w:val="a0"/>
    <w:qFormat/>
    <w:rPr>
      <w:kern w:val="2"/>
      <w:sz w:val="21"/>
      <w:szCs w:val="22"/>
    </w:rPr>
  </w:style>
  <w:style w:type="paragraph" w:customStyle="1" w:styleId="TOC11">
    <w:name w:val="TOC 标题1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customStyle="1" w:styleId="15">
    <w:name w:val="无间隔1"/>
    <w:uiPriority w:val="1"/>
    <w:qFormat/>
    <w:pPr>
      <w:widowControl w:val="0"/>
      <w:jc w:val="both"/>
    </w:pPr>
    <w:rPr>
      <w:rFonts w:asciiTheme="minorHAnsi" w:hAnsiTheme="minorHAnsi" w:cstheme="minorBidi"/>
      <w:kern w:val="2"/>
      <w:sz w:val="21"/>
      <w:szCs w:val="22"/>
    </w:rPr>
  </w:style>
  <w:style w:type="character" w:customStyle="1" w:styleId="current">
    <w:name w:val="current"/>
    <w:basedOn w:val="a0"/>
    <w:qFormat/>
    <w:rPr>
      <w:b/>
      <w:color w:val="FFFFFF"/>
      <w:bdr w:val="single" w:sz="6" w:space="0" w:color="9EB145"/>
      <w:shd w:val="clear" w:color="auto" w:fill="9EB145"/>
    </w:rPr>
  </w:style>
  <w:style w:type="character" w:customStyle="1" w:styleId="disabled">
    <w:name w:val="disabled"/>
    <w:basedOn w:val="a0"/>
    <w:qFormat/>
    <w:rPr>
      <w:color w:val="719234"/>
      <w:bdr w:val="single" w:sz="6" w:space="0" w:color="CCCCCC"/>
    </w:rPr>
  </w:style>
  <w:style w:type="paragraph" w:customStyle="1" w:styleId="24">
    <w:name w:val="列出段落2"/>
    <w:basedOn w:val="a"/>
    <w:uiPriority w:val="99"/>
    <w:unhideWhenUsed/>
    <w:qFormat/>
    <w:pPr>
      <w:ind w:firstLineChars="200" w:firstLine="420"/>
    </w:pPr>
  </w:style>
  <w:style w:type="paragraph" w:customStyle="1" w:styleId="ListParagraph1">
    <w:name w:val="List Paragraph1"/>
    <w:basedOn w:val="a"/>
    <w:uiPriority w:val="99"/>
    <w:qFormat/>
    <w:pPr>
      <w:ind w:firstLineChars="200" w:firstLine="420"/>
    </w:pPr>
    <w:rPr>
      <w:rFonts w:ascii="Calibri" w:hAnsi="Calibri"/>
    </w:rPr>
  </w:style>
  <w:style w:type="table" w:customStyle="1" w:styleId="TableNormal">
    <w:name w:val="Table Normal"/>
    <w:semiHidden/>
    <w:unhideWhenUsed/>
    <w:qFormat/>
    <w:tblPr>
      <w:tblCellMar>
        <w:top w:w="0" w:type="dxa"/>
        <w:left w:w="0" w:type="dxa"/>
        <w:bottom w:w="0" w:type="dxa"/>
        <w:right w:w="0" w:type="dxa"/>
      </w:tblCellMar>
    </w:tblPr>
  </w:style>
  <w:style w:type="character" w:customStyle="1" w:styleId="font11">
    <w:name w:val="font11"/>
    <w:basedOn w:val="a0"/>
    <w:qFormat/>
    <w:rPr>
      <w:rFonts w:ascii="仿宋" w:eastAsia="仿宋" w:hAnsi="仿宋" w:cs="仿宋" w:hint="eastAsia"/>
      <w:color w:val="000000"/>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emf"/><Relationship Id="rId4" Type="http://schemas.openxmlformats.org/officeDocument/2006/relationships/styles" Target="styles.xml"/><Relationship Id="rId9" Type="http://schemas.openxmlformats.org/officeDocument/2006/relationships/hyperlink" Target="http://www.baidu.com/link?url=YSbFP-vnzYDreB8D1-eVBJeYr42hhhcCQVunJgZXARMMU_V3QcvntUUdlaZKdW0MxU6UPmQDLvw6yclZSqmc9q" TargetMode="External"/><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DEFD64-B129-4A53-B0FD-FA6D396FF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28</Pages>
  <Words>1994</Words>
  <Characters>11368</Characters>
  <Application>Microsoft Office Word</Application>
  <DocSecurity>0</DocSecurity>
  <Lines>94</Lines>
  <Paragraphs>26</Paragraphs>
  <ScaleCrop>false</ScaleCrop>
  <Company>Microsoft</Company>
  <LinksUpToDate>false</LinksUpToDate>
  <CharactersWithSpaces>13336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24</cp:revision>
  <cp:lastPrinted>2022-01-06T01:40:00Z</cp:lastPrinted>
  <dcterms:created xsi:type="dcterms:W3CDTF">2019-01-11T10:40:00Z</dcterms:created>
  <dcterms:modified xsi:type="dcterms:W3CDTF">2022-02-22T07:09:00Z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F1702F46678C4104A6BD721B2FDBEFD0</vt:lpwstr>
  </property>
</Properties>
</file>