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宋体" w:eastAsia="方正黑体_GBK" w:cs="宋体"/>
          <w:bCs/>
          <w:color w:val="000000"/>
          <w:kern w:val="0"/>
          <w:sz w:val="32"/>
          <w:szCs w:val="32"/>
        </w:rPr>
      </w:pPr>
      <w:r>
        <w:rPr>
          <w:rFonts w:hint="eastAsia" w:ascii="方正黑体_GBK" w:hAnsi="宋体" w:eastAsia="方正黑体_GBK" w:cs="宋体"/>
          <w:bCs/>
          <w:color w:val="000000"/>
          <w:kern w:val="0"/>
          <w:sz w:val="32"/>
          <w:szCs w:val="32"/>
        </w:rPr>
        <w:t>附件</w:t>
      </w:r>
    </w:p>
    <w:p>
      <w:pPr>
        <w:spacing w:line="600" w:lineRule="exact"/>
        <w:jc w:val="center"/>
        <w:rPr>
          <w:rFonts w:ascii="方正小标宋_GBK" w:hAnsi="宋体" w:eastAsia="方正小标宋_GBK" w:cs="宋体"/>
          <w:bCs/>
          <w:color w:val="000000"/>
          <w:kern w:val="0"/>
          <w:sz w:val="36"/>
          <w:szCs w:val="36"/>
        </w:rPr>
      </w:pPr>
    </w:p>
    <w:p>
      <w:pPr>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重庆市2021年老年教育</w:t>
      </w:r>
      <w:r>
        <w:rPr>
          <w:rFonts w:hint="eastAsia" w:ascii="方正小标宋_GBK" w:hAnsi="宋体" w:eastAsia="方正小标宋_GBK" w:cs="宋体"/>
          <w:bCs/>
          <w:color w:val="000000"/>
          <w:kern w:val="0"/>
          <w:sz w:val="44"/>
          <w:szCs w:val="44"/>
          <w:lang w:val="en-US" w:eastAsia="zh-CN"/>
        </w:rPr>
        <w:t>建设</w:t>
      </w:r>
      <w:r>
        <w:rPr>
          <w:rFonts w:hint="eastAsia" w:ascii="方正小标宋_GBK" w:hAnsi="宋体" w:eastAsia="方正小标宋_GBK" w:cs="宋体"/>
          <w:bCs/>
          <w:color w:val="000000"/>
          <w:kern w:val="0"/>
          <w:sz w:val="44"/>
          <w:szCs w:val="44"/>
        </w:rPr>
        <w:t>项目名单</w:t>
      </w:r>
    </w:p>
    <w:tbl>
      <w:tblPr>
        <w:tblStyle w:val="4"/>
        <w:tblW w:w="8599" w:type="dxa"/>
        <w:jc w:val="center"/>
        <w:tblInd w:w="0" w:type="dxa"/>
        <w:tblLayout w:type="fixed"/>
        <w:tblCellMar>
          <w:top w:w="0" w:type="dxa"/>
          <w:left w:w="0" w:type="dxa"/>
          <w:bottom w:w="0" w:type="dxa"/>
          <w:right w:w="0" w:type="dxa"/>
        </w:tblCellMar>
      </w:tblPr>
      <w:tblGrid>
        <w:gridCol w:w="1254"/>
        <w:gridCol w:w="5374"/>
        <w:gridCol w:w="1971"/>
      </w:tblGrid>
      <w:tr>
        <w:tblPrEx>
          <w:tblLayout w:type="fixed"/>
          <w:tblCellMar>
            <w:top w:w="0" w:type="dxa"/>
            <w:left w:w="0" w:type="dxa"/>
            <w:bottom w:w="0" w:type="dxa"/>
            <w:right w:w="0" w:type="dxa"/>
          </w:tblCellMar>
        </w:tblPrEx>
        <w:trPr>
          <w:trHeight w:val="559" w:hRule="atLeast"/>
          <w:tblHeader/>
          <w:jc w:val="center"/>
        </w:trPr>
        <w:tc>
          <w:tcPr>
            <w:tcW w:w="1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b/>
                <w:color w:val="000000"/>
                <w:kern w:val="0"/>
                <w:sz w:val="24"/>
                <w:lang w:bidi="ar"/>
              </w:rPr>
            </w:pPr>
            <w:r>
              <w:rPr>
                <w:rFonts w:hint="eastAsia" w:ascii="方正仿宋_GBK" w:hAnsi="等线" w:eastAsia="方正仿宋_GBK" w:cs="等线"/>
                <w:b/>
                <w:color w:val="000000"/>
                <w:kern w:val="0"/>
                <w:sz w:val="24"/>
                <w:lang w:bidi="ar"/>
              </w:rPr>
              <w:t>序号</w:t>
            </w:r>
          </w:p>
        </w:tc>
        <w:tc>
          <w:tcPr>
            <w:tcW w:w="5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b/>
                <w:color w:val="000000"/>
                <w:sz w:val="24"/>
              </w:rPr>
            </w:pPr>
            <w:r>
              <w:rPr>
                <w:rFonts w:hint="eastAsia" w:ascii="方正仿宋_GBK" w:hAnsi="等线" w:eastAsia="方正仿宋_GBK" w:cs="等线"/>
                <w:b/>
                <w:color w:val="000000"/>
                <w:kern w:val="0"/>
                <w:sz w:val="24"/>
                <w:lang w:bidi="ar"/>
              </w:rPr>
              <w:t>项目名称</w:t>
            </w:r>
          </w:p>
        </w:tc>
        <w:tc>
          <w:tcPr>
            <w:tcW w:w="197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b/>
                <w:color w:val="000000"/>
                <w:sz w:val="24"/>
              </w:rPr>
            </w:pPr>
            <w:r>
              <w:rPr>
                <w:rFonts w:hint="eastAsia" w:ascii="方正仿宋_GBK" w:hAnsi="等线" w:eastAsia="方正仿宋_GBK" w:cs="等线"/>
                <w:b/>
                <w:color w:val="000000"/>
                <w:kern w:val="0"/>
                <w:sz w:val="24"/>
                <w:lang w:bidi="ar"/>
              </w:rPr>
              <w:t>建设单位</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w w:val="90"/>
                <w:sz w:val="22"/>
              </w:rPr>
            </w:pPr>
            <w:r>
              <w:rPr>
                <w:rFonts w:hint="eastAsia" w:ascii="方正仿宋_GBK" w:hAnsi="等线" w:eastAsia="方正仿宋_GBK" w:cs="等线"/>
                <w:color w:val="000000"/>
                <w:w w:val="90"/>
                <w:kern w:val="0"/>
                <w:sz w:val="22"/>
                <w:szCs w:val="22"/>
                <w:lang w:bidi="ar"/>
              </w:rPr>
              <w:t>困境与突破：重庆市老年教育城</w:t>
            </w:r>
            <w:bookmarkStart w:id="0" w:name="_GoBack"/>
            <w:bookmarkEnd w:id="0"/>
            <w:r>
              <w:rPr>
                <w:rFonts w:hint="eastAsia" w:ascii="方正仿宋_GBK" w:hAnsi="等线" w:eastAsia="方正仿宋_GBK" w:cs="等线"/>
                <w:color w:val="000000"/>
                <w:w w:val="90"/>
                <w:kern w:val="0"/>
                <w:sz w:val="22"/>
                <w:szCs w:val="22"/>
                <w:lang w:bidi="ar"/>
              </w:rPr>
              <w:t>乡统筹发展创新研究与实践</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重庆城市管理职业学院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新冠疫情下《智慧社区管理》线上课程在重庆市老年教育建设应用研究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重庆建筑科技职业学院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破鸿沟，重关怀：智慧旅游背景下的重庆老年人旅游服务系统设计研究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重庆艺术工程职业学院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以“三养”为核心的老年人智慧学养结合模式的研究——”养心、养生、养病“</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重庆电讯职业学院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5</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乡村振兴战略背景下农村留守老人关爱服务体系建设研究与实践——以永川区 S 镇为例</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重庆城市职业学院</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6</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乡村振兴背景下涪陵农村养老对策研究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重庆工贸职业技术学院</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7</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新时代重庆市社区居家养老模式构建研究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重庆医药高等专科学校</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8</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职业教育、社区教育、老年教育融合发展策略研究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重庆市巴南职业教育中心</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9</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社校合作背景下老年健康教育的主动应对策略研究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重庆电子工程职业学院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10</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基于职业教育、社区教育、老年教育的“三融合、N 发展”策略研究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重庆市轻工业学校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11</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”校地院“三方协作，推进终生教育体系融合发展研究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重庆市医药卫生学校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12</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高职院校《老年护理技能》在线开放课程资源的建设与应用研究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重庆护理职业学院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13</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区域老年教育现代化路径研究——以大足区为例</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重庆市大足区老年大学</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14</w:t>
            </w:r>
          </w:p>
        </w:tc>
        <w:tc>
          <w:tcPr>
            <w:tcW w:w="5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县级职教中心供给乡村老年教育资源的机制与路径研究</w:t>
            </w:r>
          </w:p>
        </w:tc>
        <w:tc>
          <w:tcPr>
            <w:tcW w:w="197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w w:val="92"/>
                <w:sz w:val="22"/>
              </w:rPr>
            </w:pPr>
            <w:r>
              <w:rPr>
                <w:rFonts w:hint="eastAsia" w:ascii="方正仿宋_GBK" w:hAnsi="等线" w:eastAsia="方正仿宋_GBK" w:cs="等线"/>
                <w:color w:val="000000"/>
                <w:w w:val="92"/>
                <w:kern w:val="0"/>
                <w:sz w:val="22"/>
                <w:szCs w:val="22"/>
                <w:lang w:bidi="ar"/>
              </w:rPr>
              <w:t>重庆市奉节职业教育中心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15</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后疫情时代重庆老年人群健康素养调查研究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重庆医科大学</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16</w:t>
            </w:r>
          </w:p>
        </w:tc>
        <w:tc>
          <w:tcPr>
            <w:tcW w:w="5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乡村产业振兴与老年技能培训</w:t>
            </w:r>
          </w:p>
        </w:tc>
        <w:tc>
          <w:tcPr>
            <w:tcW w:w="197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重庆市开州区巨龙中等职业技术学校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17</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农村留守老人实用技能培训助力乡村产业振兴</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重庆市荣昌区职业教育中心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18</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石柱县乡村老年种养殖业提升培训</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重庆市石柱土家族自治县职业教育中心</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19</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乡村产业振兴与老年技能培训</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重庆市秀山土家族苗族自治县职业教育中心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20</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重庆乡村产业振兴与老年技能培训研究与应用——以永川天星村香十二手工药香制作技艺为例</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重庆城市职业学院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21</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乡村产业振兴与老年技能培训</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重庆市艺才高级技工学校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22</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乡村生态振兴与老年康养休闲</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重庆市彭水苗族土家族自治县职业教育中心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23</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乡村生态振兴与老年康养休闲背景下的乡村民宿式养老模式的应用研究——以南川区大观镇金龙村为例</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重庆建筑科技职业学院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24</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乡村生态振兴与老年康养休闲</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重庆市江南职业学校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25</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“拾光”城乡社区健康助老服务</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重庆幼儿师范高等专科学校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26</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乡村振兴战略视域下农村优良家风建设的实践探索——以龙沙镇为例</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重庆市万州区龙沙镇民政和社会事务办公室</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27</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乡村文化振兴与优良家风传承</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重庆城市管理职业学院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28</w:t>
            </w:r>
          </w:p>
        </w:tc>
        <w:tc>
          <w:tcPr>
            <w:tcW w:w="537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“歌舞恒合·文明传家”文艺惠民老年帮扶</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重庆市万州职业教育中老心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29</w:t>
            </w:r>
          </w:p>
        </w:tc>
        <w:tc>
          <w:tcPr>
            <w:tcW w:w="5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餐饮文化体验基地</w:t>
            </w:r>
          </w:p>
        </w:tc>
        <w:tc>
          <w:tcPr>
            <w:tcW w:w="197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重庆市北碚职业教育中心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30</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餐饮文化体验基地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重庆市旅游学校</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31</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“乐享桑榆·轻传手工”创意手工学习体验基地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重庆市轻工业学校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32</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创意手工体验基地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重庆市渝中区山城老年大学</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33</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创意手工体验基地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重庆市育才职业教育中心</w:t>
            </w:r>
          </w:p>
        </w:tc>
      </w:tr>
      <w:tr>
        <w:tblPrEx>
          <w:tblLayout w:type="fixed"/>
          <w:tblCellMar>
            <w:top w:w="0" w:type="dxa"/>
            <w:left w:w="0" w:type="dxa"/>
            <w:bottom w:w="0" w:type="dxa"/>
            <w:right w:w="0" w:type="dxa"/>
          </w:tblCellMar>
        </w:tblPrEx>
        <w:trPr>
          <w:trHeight w:val="555" w:hRule="atLeast"/>
          <w:tblHeader/>
          <w:jc w:val="center"/>
        </w:trPr>
        <w:tc>
          <w:tcPr>
            <w:tcW w:w="1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34</w:t>
            </w:r>
          </w:p>
        </w:tc>
        <w:tc>
          <w:tcPr>
            <w:tcW w:w="5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老年陶艺体验基地</w:t>
            </w:r>
          </w:p>
        </w:tc>
        <w:tc>
          <w:tcPr>
            <w:tcW w:w="197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重庆艺术工程职业学院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35</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红色文化体验基地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重庆市龙门浩职业中学校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36</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红色文化体验基地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重庆商务职业学院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37</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花艺茶艺体验基地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重庆市开州职业教育中心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38</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花艺茶艺体验基地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重庆市巫溪县职业教育中心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39</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花艺茶艺体验基地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重庆女子职业高级中学</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40</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康养护理体验基地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四川仪表工业学校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41</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康养护理体验基地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重庆市立信职业教育中心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42</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老年糖尿病患者康养服务体验基地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重庆青年职业技术学院</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43</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仁道康养体验基地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重庆市医药卫生学校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44</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康养护理体验基地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重庆市医药学校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45</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美好生活体验基地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重庆市黔江区民族职业教育中心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46</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老年美好生活体验基地</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重庆市武隆区职业教育中心</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47</w:t>
            </w:r>
          </w:p>
        </w:tc>
        <w:tc>
          <w:tcPr>
            <w:tcW w:w="5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城”新“城”忆“，乐学向上——城市记忆老年教育游学</w:t>
            </w:r>
          </w:p>
        </w:tc>
        <w:tc>
          <w:tcPr>
            <w:tcW w:w="1971"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重庆市两路口街道桂花园新村社区</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48</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历史文化游学项目</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四川仪表工业学校</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49</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重庆母城历史文化游学项目</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重庆市两路口街道桂花园新村社区</w:t>
            </w:r>
          </w:p>
        </w:tc>
      </w:tr>
      <w:tr>
        <w:tblPrEx>
          <w:tblLayout w:type="fixed"/>
          <w:tblCellMar>
            <w:top w:w="0" w:type="dxa"/>
            <w:left w:w="0" w:type="dxa"/>
            <w:bottom w:w="0" w:type="dxa"/>
            <w:right w:w="0" w:type="dxa"/>
          </w:tblCellMar>
        </w:tblPrEx>
        <w:trPr>
          <w:trHeight w:val="559" w:hRule="atLeast"/>
          <w:tblHeader/>
          <w:jc w:val="center"/>
        </w:trPr>
        <w:tc>
          <w:tcPr>
            <w:tcW w:w="125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kern w:val="0"/>
                <w:sz w:val="22"/>
                <w:lang w:bidi="ar"/>
              </w:rPr>
            </w:pPr>
            <w:r>
              <w:rPr>
                <w:rFonts w:hint="eastAsia" w:ascii="方正仿宋_GBK" w:hAnsi="等线" w:eastAsia="方正仿宋_GBK" w:cs="等线"/>
                <w:color w:val="000000"/>
                <w:kern w:val="0"/>
                <w:sz w:val="22"/>
                <w:szCs w:val="22"/>
                <w:lang w:bidi="ar"/>
              </w:rPr>
              <w:t>50</w:t>
            </w:r>
          </w:p>
        </w:tc>
        <w:tc>
          <w:tcPr>
            <w:tcW w:w="537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历史文化游学项目</w:t>
            </w:r>
          </w:p>
        </w:tc>
        <w:tc>
          <w:tcPr>
            <w:tcW w:w="19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方正仿宋_GBK" w:hAnsi="等线" w:eastAsia="方正仿宋_GBK" w:cs="等线"/>
                <w:color w:val="000000"/>
                <w:sz w:val="22"/>
              </w:rPr>
            </w:pPr>
            <w:r>
              <w:rPr>
                <w:rFonts w:hint="eastAsia" w:ascii="方正仿宋_GBK" w:hAnsi="等线" w:eastAsia="方正仿宋_GBK" w:cs="等线"/>
                <w:color w:val="000000"/>
                <w:kern w:val="0"/>
                <w:sz w:val="22"/>
                <w:szCs w:val="22"/>
                <w:lang w:bidi="ar"/>
              </w:rPr>
              <w:t>重庆市九龙坡职业教育中心</w:t>
            </w:r>
          </w:p>
        </w:tc>
      </w:tr>
    </w:tbl>
    <w:p>
      <w:pPr>
        <w:widowControl/>
        <w:jc w:val="left"/>
        <w:rPr>
          <w:rFonts w:ascii="方正黑体_GBK" w:hAnsi="Times New Roman" w:eastAsia="方正黑体_GBK"/>
          <w:color w:val="000000"/>
          <w:sz w:val="32"/>
          <w:szCs w:val="32"/>
        </w:rPr>
      </w:pPr>
    </w:p>
    <w:p>
      <w:pPr>
        <w:rPr>
          <w:rFonts w:ascii="方正小标宋_GBK" w:hAnsi="宋体" w:eastAsia="方正小标宋_GBK" w:cs="宋体"/>
          <w:bCs/>
          <w:color w:val="000000"/>
          <w:kern w:val="0"/>
          <w:sz w:val="36"/>
          <w:szCs w:val="36"/>
        </w:rPr>
      </w:pPr>
    </w:p>
    <w:p>
      <w:pPr>
        <w:pStyle w:val="3"/>
        <w:widowControl/>
        <w:spacing w:before="0" w:beforeAutospacing="0" w:after="300" w:afterAutospacing="0" w:line="600" w:lineRule="atLeast"/>
        <w:rPr>
          <w:color w:val="000000"/>
        </w:rPr>
      </w:pPr>
    </w:p>
    <w:p/>
    <w:sectPr>
      <w:footerReference r:id="rId3" w:type="default"/>
      <w:footerReference r:id="rId4" w:type="even"/>
      <w:pgSz w:w="11906" w:h="16838"/>
      <w:pgMar w:top="1446" w:right="1474" w:bottom="1446" w:left="1361" w:header="992" w:footer="567" w:gutter="0"/>
      <w:pgNumType w:fmt="numberInDash"/>
      <w:cols w:space="720" w:num="1"/>
      <w:docGrid w:type="lines" w:linePitch="6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61"/>
    <w:rsid w:val="00094C61"/>
    <w:rsid w:val="00167630"/>
    <w:rsid w:val="00753270"/>
    <w:rsid w:val="00F23F26"/>
    <w:rsid w:val="02677E9E"/>
    <w:rsid w:val="2D8E0361"/>
    <w:rsid w:val="44BA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jc w:val="left"/>
    </w:pPr>
    <w:rPr>
      <w:kern w:val="0"/>
      <w:sz w:val="24"/>
    </w:rPr>
  </w:style>
  <w:style w:type="character" w:customStyle="1" w:styleId="6">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261</Words>
  <Characters>1492</Characters>
  <Lines>12</Lines>
  <Paragraphs>3</Paragraphs>
  <TotalTime>1</TotalTime>
  <ScaleCrop>false</ScaleCrop>
  <LinksUpToDate>false</LinksUpToDate>
  <CharactersWithSpaces>1750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2021-07-31T04:26:00Z</dcterms:created>
  <dc:creator>Sky123.Org</dc:creator>
  <cp:lastModifiedBy>Administrator</cp:lastModifiedBy>
  <dcterms:modified xsi:type="dcterms:W3CDTF">2021-08-03T03:22:47Z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