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78" w:rsidRDefault="00287878" w:rsidP="00287878">
      <w:pPr>
        <w:spacing w:line="6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 w:hint="eastAsia"/>
          <w:color w:val="000000"/>
        </w:rPr>
        <w:t>2</w:t>
      </w:r>
    </w:p>
    <w:p w:rsidR="00287878" w:rsidRDefault="00287878" w:rsidP="00287878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287878" w:rsidRDefault="00287878" w:rsidP="00287878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教师项目答辩规则和评分细则</w:t>
      </w:r>
    </w:p>
    <w:p w:rsidR="00287878" w:rsidRDefault="00287878" w:rsidP="00287878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287878" w:rsidRPr="005E32DD" w:rsidRDefault="00287878" w:rsidP="00287878">
      <w:pPr>
        <w:spacing w:line="500" w:lineRule="exact"/>
        <w:ind w:firstLineChars="200" w:firstLine="640"/>
        <w:jc w:val="left"/>
        <w:rPr>
          <w:rFonts w:ascii="方正楷体_GBK" w:eastAsia="方正楷体_GBK" w:hAnsi="仿宋_GB2312" w:cs="仿宋_GB2312"/>
        </w:rPr>
      </w:pPr>
      <w:r w:rsidRPr="005E32DD">
        <w:rPr>
          <w:rFonts w:ascii="方正楷体_GBK" w:eastAsia="方正楷体_GBK" w:hAnsi="仿宋_GB2312" w:cs="仿宋_GB2312" w:hint="eastAsia"/>
        </w:rPr>
        <w:t>（一）答辩规则</w:t>
      </w:r>
    </w:p>
    <w:p w:rsidR="00287878" w:rsidRDefault="00287878" w:rsidP="00287878">
      <w:pPr>
        <w:spacing w:line="5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1.答辩是对提交初评项目进行展示陈述，线上展示编程教育教育教学能力培养的一个案例。展示内容重点考虑如何发挥教师的指导作用，如何发挥学生的主体作用，如何让学生在完成项目的过程中达到教学目标的要求。</w:t>
      </w:r>
    </w:p>
    <w:p w:rsidR="00287878" w:rsidRDefault="00287878" w:rsidP="00287878">
      <w:pPr>
        <w:spacing w:line="5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2.答辩所需物品和PPT均由选手自己准备，不带学生。</w:t>
      </w:r>
    </w:p>
    <w:p w:rsidR="00287878" w:rsidRDefault="00287878" w:rsidP="00287878">
      <w:pPr>
        <w:spacing w:line="5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3.答辩信息匿名展示陈述，不能出现项目组成员所在单位及个人信息，否则将酌情取消成绩。</w:t>
      </w:r>
    </w:p>
    <w:p w:rsidR="00287878" w:rsidRDefault="00287878" w:rsidP="00287878">
      <w:pPr>
        <w:spacing w:line="5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4.评分标准为 10 分制，评委给分后，将去掉最高分和最低分，得出的平均分为未</w:t>
      </w:r>
      <w:proofErr w:type="gramStart"/>
      <w:r>
        <w:rPr>
          <w:rFonts w:ascii="方正仿宋_GBK" w:eastAsia="方正仿宋_GBK" w:hAnsi="仿宋_GB2312" w:cs="仿宋_GB2312" w:hint="eastAsia"/>
        </w:rPr>
        <w:t>超时选手</w:t>
      </w:r>
      <w:proofErr w:type="gramEnd"/>
      <w:r>
        <w:rPr>
          <w:rFonts w:ascii="方正仿宋_GBK" w:eastAsia="方正仿宋_GBK" w:hAnsi="仿宋_GB2312" w:cs="仿宋_GB2312" w:hint="eastAsia"/>
        </w:rPr>
        <w:t>的最后得分。</w:t>
      </w:r>
    </w:p>
    <w:p w:rsidR="00287878" w:rsidRDefault="00287878" w:rsidP="00287878">
      <w:pPr>
        <w:spacing w:line="5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5.展示陈述时间在 7分钟以内，回答评委问题控制在3分钟以内，每项超时 20 秒及以上，最后得分每项扣 0.2。</w:t>
      </w:r>
    </w:p>
    <w:p w:rsidR="00287878" w:rsidRDefault="00287878" w:rsidP="00287878">
      <w:pPr>
        <w:spacing w:line="5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 w:rsidRPr="005E32DD">
        <w:rPr>
          <w:rFonts w:ascii="方正楷体_GBK" w:eastAsia="方正楷体_GBK" w:hAnsi="仿宋_GB2312" w:cs="仿宋_GB2312" w:hint="eastAsia"/>
        </w:rPr>
        <w:t>（二）评分细则</w:t>
      </w:r>
    </w:p>
    <w:p w:rsidR="00287878" w:rsidRDefault="00287878" w:rsidP="00287878">
      <w:pPr>
        <w:spacing w:line="5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1.选题坚持问题导向，现实可操作性强。案例主题鲜明，体现编程教育的教育价值观；</w:t>
      </w:r>
    </w:p>
    <w:p w:rsidR="00287878" w:rsidRDefault="00287878" w:rsidP="00287878">
      <w:pPr>
        <w:spacing w:line="500" w:lineRule="exact"/>
        <w:ind w:firstLineChars="200" w:firstLine="640"/>
        <w:jc w:val="left"/>
        <w:rPr>
          <w:rFonts w:ascii="方正仿宋_GBK" w:eastAsia="方正仿宋_GBK" w:hAnsi="仿宋_GB2312" w:cs="仿宋_GB2312"/>
        </w:rPr>
      </w:pPr>
      <w:r>
        <w:rPr>
          <w:rFonts w:ascii="方正仿宋_GBK" w:eastAsia="方正仿宋_GBK" w:hAnsi="仿宋_GB2312" w:cs="仿宋_GB2312" w:hint="eastAsia"/>
        </w:rPr>
        <w:t>2.教育形式新颖，教育策略科学，实效性强，效果好，具有推广价值；</w:t>
      </w:r>
    </w:p>
    <w:p w:rsidR="00287878" w:rsidRDefault="00287878" w:rsidP="00287878">
      <w:pPr>
        <w:spacing w:line="500" w:lineRule="exact"/>
        <w:ind w:firstLineChars="200" w:firstLine="640"/>
        <w:jc w:val="left"/>
        <w:sectPr w:rsidR="00287878" w:rsidSect="005E32DD">
          <w:footerReference w:type="even" r:id="rId5"/>
          <w:footerReference w:type="default" r:id="rId6"/>
          <w:pgSz w:w="11906" w:h="16838" w:code="9"/>
          <w:pgMar w:top="1559" w:right="1474" w:bottom="1559" w:left="1361" w:header="992" w:footer="567" w:gutter="0"/>
          <w:pgNumType w:fmt="numberInDash"/>
          <w:cols w:space="720"/>
          <w:docGrid w:type="lines" w:linePitch="312"/>
        </w:sectPr>
      </w:pPr>
      <w:r>
        <w:rPr>
          <w:rFonts w:ascii="方正仿宋_GBK" w:eastAsia="方正仿宋_GBK" w:hAnsi="仿宋_GB2312" w:cs="仿宋_GB2312" w:hint="eastAsia"/>
        </w:rPr>
        <w:t>3.案例展示结构完整，层次清晰，主要呈现三个方面：一是主题呈现，二是过程呈现，三是价值说明。</w:t>
      </w:r>
    </w:p>
    <w:p w:rsidR="00685660" w:rsidRPr="00287878" w:rsidRDefault="00685660">
      <w:bookmarkStart w:id="0" w:name="_GoBack"/>
      <w:bookmarkEnd w:id="0"/>
    </w:p>
    <w:sectPr w:rsidR="00685660" w:rsidRPr="0028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2604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E32DD" w:rsidRPr="005E32DD" w:rsidRDefault="00287878" w:rsidP="005E32DD">
        <w:pPr>
          <w:pStyle w:val="a3"/>
          <w:rPr>
            <w:rFonts w:ascii="宋体" w:eastAsia="宋体" w:hAnsi="宋体"/>
            <w:sz w:val="28"/>
            <w:szCs w:val="28"/>
          </w:rPr>
        </w:pPr>
        <w:r w:rsidRPr="005E32DD">
          <w:rPr>
            <w:rFonts w:ascii="宋体" w:eastAsia="宋体" w:hAnsi="宋体"/>
            <w:sz w:val="28"/>
            <w:szCs w:val="28"/>
          </w:rPr>
          <w:fldChar w:fldCharType="begin"/>
        </w:r>
        <w:r w:rsidRPr="005E32D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E32DD">
          <w:rPr>
            <w:rFonts w:ascii="宋体" w:eastAsia="宋体" w:hAnsi="宋体"/>
            <w:sz w:val="28"/>
            <w:szCs w:val="28"/>
          </w:rPr>
          <w:fldChar w:fldCharType="separate"/>
        </w:r>
        <w:r w:rsidRPr="00544504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Pr="005E32D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70723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E32DD" w:rsidRPr="005E32DD" w:rsidRDefault="00287878" w:rsidP="005E32DD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5E32DD">
          <w:rPr>
            <w:rFonts w:ascii="宋体" w:eastAsia="宋体" w:hAnsi="宋体"/>
            <w:sz w:val="28"/>
            <w:szCs w:val="28"/>
          </w:rPr>
          <w:fldChar w:fldCharType="begin"/>
        </w:r>
        <w:r w:rsidRPr="005E32D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E32DD">
          <w:rPr>
            <w:rFonts w:ascii="宋体" w:eastAsia="宋体" w:hAnsi="宋体"/>
            <w:sz w:val="28"/>
            <w:szCs w:val="28"/>
          </w:rPr>
          <w:fldChar w:fldCharType="separate"/>
        </w:r>
        <w:r w:rsidRPr="00287878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5E32D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78"/>
    <w:rsid w:val="00287878"/>
    <w:rsid w:val="006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7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787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7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787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Sky123.Org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2021-06-24T07:05:00Z</dcterms:created>
  <dcterms:modified xsi:type="dcterms:W3CDTF">2021-06-24T07:05:00Z</dcterms:modified>
</cp:coreProperties>
</file>